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7D9ED4D3" w:rsidR="000A3782" w:rsidRPr="002B7483" w:rsidRDefault="000A3782" w:rsidP="000A378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8E5139">
        <w:rPr>
          <w:rFonts w:cs="Times New Roman"/>
          <w:b/>
          <w:bCs/>
          <w:sz w:val="24"/>
          <w:lang w:val="en-GB"/>
        </w:rPr>
        <w:t>121</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149C7" w:rsidRPr="00F149C7">
        <w:rPr>
          <w:rFonts w:cs="Times New Roman"/>
          <w:b/>
          <w:bCs/>
          <w:sz w:val="24"/>
        </w:rPr>
        <w:t>R2-2300852</w:t>
      </w:r>
    </w:p>
    <w:bookmarkEnd w:id="0"/>
    <w:bookmarkEnd w:id="1"/>
    <w:p w14:paraId="5650AECD" w14:textId="50941913" w:rsidR="000A3782" w:rsidRPr="00FA58D0" w:rsidRDefault="00700733" w:rsidP="000A3782">
      <w:pPr>
        <w:tabs>
          <w:tab w:val="left" w:pos="1820"/>
        </w:tabs>
        <w:spacing w:beforeLines="0" w:before="0" w:afterLines="0" w:after="60"/>
        <w:rPr>
          <w:rFonts w:cs="Times New Roman"/>
          <w:b/>
          <w:bCs/>
          <w:sz w:val="24"/>
          <w:lang w:val="en-GB"/>
        </w:rPr>
      </w:pPr>
      <w:r w:rsidRPr="00306BA8">
        <w:rPr>
          <w:rFonts w:cs="Times New Roman"/>
          <w:b/>
          <w:bCs/>
          <w:sz w:val="24"/>
          <w:lang w:val="en-GB"/>
        </w:rPr>
        <w:t>Athens, Greece, 27 February – 3 March</w:t>
      </w:r>
      <w:r w:rsidRPr="00306BA8">
        <w:rPr>
          <w:rFonts w:cs="Times New Roman" w:hint="eastAsia"/>
          <w:b/>
          <w:bCs/>
          <w:sz w:val="24"/>
          <w:lang w:val="en-GB"/>
        </w:rPr>
        <w:t>,</w:t>
      </w:r>
      <w:r w:rsidR="00E024E5">
        <w:rPr>
          <w:rFonts w:cs="Times New Roman"/>
          <w:b/>
          <w:bCs/>
          <w:sz w:val="24"/>
          <w:lang w:val="en-GB"/>
        </w:rPr>
        <w:t xml:space="preserve"> 2023</w:t>
      </w:r>
      <w:bookmarkStart w:id="2" w:name="_GoBack"/>
      <w:bookmarkEnd w:id="2"/>
    </w:p>
    <w:p w14:paraId="704EC802" w14:textId="77777777" w:rsidR="000A3782" w:rsidRPr="00150B68" w:rsidRDefault="000A3782" w:rsidP="000A3782">
      <w:pPr>
        <w:tabs>
          <w:tab w:val="left" w:pos="1820"/>
        </w:tabs>
        <w:spacing w:beforeLines="0" w:before="0" w:afterLines="0" w:after="60"/>
        <w:rPr>
          <w:rFonts w:eastAsia="宋体" w:cs="Times New Roman"/>
          <w:b/>
          <w:sz w:val="24"/>
          <w:szCs w:val="24"/>
          <w:lang w:val="en-GB"/>
        </w:rPr>
      </w:pPr>
    </w:p>
    <w:p w14:paraId="195BF741" w14:textId="77777777"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3" w:name="OLE_LINK6"/>
      <w:bookmarkStart w:id="4" w:name="OLE_LINK7"/>
      <w:r w:rsidRPr="007A7E19">
        <w:rPr>
          <w:rFonts w:eastAsia="宋体" w:cs="Times New Roman" w:hint="eastAsia"/>
          <w:b/>
          <w:sz w:val="24"/>
          <w:szCs w:val="24"/>
        </w:rPr>
        <w:t>8.8.2</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468F6272"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F266AF">
        <w:rPr>
          <w:rFonts w:eastAsia="宋体" w:cs="Times New Roman"/>
          <w:b/>
          <w:bCs/>
          <w:sz w:val="24"/>
          <w:szCs w:val="24"/>
        </w:rPr>
        <w:t>Discussion</w:t>
      </w:r>
      <w:r w:rsidRPr="008A1896">
        <w:rPr>
          <w:rFonts w:eastAsia="宋体" w:cs="Times New Roman" w:hint="eastAsia"/>
          <w:b/>
          <w:bCs/>
          <w:sz w:val="24"/>
          <w:szCs w:val="24"/>
        </w:rPr>
        <w:t xml:space="preserve"> on Measurement Reports Enhancements</w:t>
      </w:r>
    </w:p>
    <w:bookmarkEnd w:id="3"/>
    <w:bookmarkEnd w:id="4"/>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77696CFC" w:rsidR="00A97ADD" w:rsidRPr="0010706A" w:rsidRDefault="006E5FC0" w:rsidP="00A97ADD">
      <w:pPr>
        <w:spacing w:before="156" w:after="156"/>
      </w:pPr>
      <w:r>
        <w:t xml:space="preserve">In RAN2 </w:t>
      </w:r>
      <w:r w:rsidR="00A97ADD">
        <w:t>11</w:t>
      </w:r>
      <w:r w:rsidR="00A97ADD" w:rsidRPr="00A97ADD">
        <w:rPr>
          <w:rFonts w:hint="eastAsia"/>
        </w:rPr>
        <w:t>9</w:t>
      </w:r>
      <w:r>
        <w:t>bis-</w:t>
      </w:r>
      <w:r w:rsidR="00A97ADD" w:rsidRPr="0010706A">
        <w:t>e 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2080493E" w14:textId="3C3B9A90" w:rsidR="00336959" w:rsidRPr="00DA0021" w:rsidRDefault="00761DA5" w:rsidP="007E54F1">
            <w:pPr>
              <w:pStyle w:val="a3"/>
              <w:numPr>
                <w:ilvl w:val="0"/>
                <w:numId w:val="11"/>
              </w:numPr>
              <w:spacing w:beforeLines="50" w:before="156" w:afterLines="50" w:after="156"/>
              <w:ind w:firstLineChars="0"/>
              <w:rPr>
                <w:iCs/>
                <w:lang w:val="en-US"/>
              </w:rPr>
            </w:pPr>
            <w:r w:rsidRPr="00DA0021">
              <w:rPr>
                <w:rStyle w:val="af0"/>
                <w:i w:val="0"/>
                <w:lang w:val="en-US"/>
              </w:rPr>
              <w:t>Continue to study height-depending scaling, triggering and combinations</w:t>
            </w:r>
          </w:p>
        </w:tc>
      </w:tr>
    </w:tbl>
    <w:p w14:paraId="68D4F7BA" w14:textId="1F6F743D" w:rsidR="000A3782" w:rsidRPr="00FA58D0" w:rsidRDefault="000A3782" w:rsidP="007D303C">
      <w:pPr>
        <w:spacing w:before="156" w:after="156"/>
      </w:pPr>
      <w:r w:rsidRPr="004F2A70">
        <w:t xml:space="preserve">This </w:t>
      </w:r>
      <w:r>
        <w:t>contribution</w:t>
      </w:r>
      <w:r w:rsidRPr="004F2A70">
        <w:t xml:space="preserve"> provides our considerations on </w:t>
      </w:r>
      <w:r w:rsidRPr="000D2549">
        <w:t>measurement reports</w:t>
      </w:r>
      <w:r w:rsidR="0065473B" w:rsidRPr="0065473B">
        <w:t xml:space="preserve"> </w:t>
      </w:r>
      <w:r w:rsidR="0065473B" w:rsidRPr="000D2549">
        <w:t>enhancements</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141D8675" w14:textId="5B485A9D" w:rsidR="006E75D4" w:rsidRPr="007D303C" w:rsidRDefault="006E75D4" w:rsidP="006E75D4">
      <w:pPr>
        <w:pStyle w:val="2"/>
        <w:spacing w:before="156"/>
        <w:ind w:right="200"/>
        <w:rPr>
          <w:rFonts w:eastAsia="宋体"/>
        </w:rPr>
      </w:pPr>
      <w:r w:rsidRPr="007D303C">
        <w:rPr>
          <w:rFonts w:eastAsia="宋体"/>
        </w:rPr>
        <w:t xml:space="preserve">2.1 </w:t>
      </w:r>
      <w:r w:rsidR="009906CE">
        <w:rPr>
          <w:rFonts w:eastAsia="宋体"/>
        </w:rPr>
        <w:t>Joint con</w:t>
      </w:r>
      <w:r w:rsidR="00841F54">
        <w:rPr>
          <w:rFonts w:eastAsia="宋体"/>
        </w:rPr>
        <w:t>dition for measurement report</w:t>
      </w:r>
      <w:r w:rsidR="009906CE">
        <w:rPr>
          <w:rFonts w:eastAsia="宋体"/>
        </w:rPr>
        <w:t xml:space="preserve"> triggering</w:t>
      </w:r>
    </w:p>
    <w:p w14:paraId="386C4362" w14:textId="05E891A0" w:rsidR="006E75D4" w:rsidRDefault="008E5139" w:rsidP="009906CE">
      <w:pPr>
        <w:spacing w:before="156" w:after="156"/>
        <w:rPr>
          <w:rFonts w:eastAsia="宋体"/>
        </w:rPr>
      </w:pPr>
      <w:r>
        <w:rPr>
          <w:rFonts w:eastAsia="宋体" w:hint="eastAsia"/>
        </w:rPr>
        <w:t>J</w:t>
      </w:r>
      <w:r>
        <w:rPr>
          <w:rFonts w:eastAsia="宋体"/>
        </w:rPr>
        <w:t>oint use of height dependent conditions</w:t>
      </w:r>
      <w:r w:rsidRPr="008E5139">
        <w:t xml:space="preserve"> </w:t>
      </w:r>
      <w:r w:rsidRPr="008E5139">
        <w:rPr>
          <w:rFonts w:eastAsia="宋体"/>
        </w:rPr>
        <w:t>and RSRP/RSRQ/SINR-based condition</w:t>
      </w:r>
      <w:r>
        <w:rPr>
          <w:rFonts w:eastAsia="宋体"/>
        </w:rPr>
        <w:t xml:space="preserve"> for measurement </w:t>
      </w:r>
      <w:r w:rsidR="003654AA">
        <w:rPr>
          <w:rFonts w:eastAsia="宋体"/>
        </w:rPr>
        <w:t xml:space="preserve">report </w:t>
      </w:r>
      <w:r>
        <w:rPr>
          <w:rFonts w:eastAsia="宋体"/>
        </w:rPr>
        <w:t>triggering</w:t>
      </w:r>
      <w:r w:rsidR="00805220">
        <w:rPr>
          <w:rFonts w:eastAsia="宋体"/>
        </w:rPr>
        <w:t xml:space="preserve"> can provide the network more accurate information for handover and </w:t>
      </w:r>
      <w:r w:rsidR="007E54F1">
        <w:rPr>
          <w:rFonts w:eastAsia="宋体"/>
        </w:rPr>
        <w:t xml:space="preserve">is </w:t>
      </w:r>
      <w:r w:rsidR="003654AA">
        <w:rPr>
          <w:rFonts w:eastAsia="宋体"/>
        </w:rPr>
        <w:t xml:space="preserve">beneficial </w:t>
      </w:r>
      <w:r w:rsidR="007E54F1">
        <w:rPr>
          <w:rFonts w:eastAsia="宋体"/>
        </w:rPr>
        <w:t xml:space="preserve">for </w:t>
      </w:r>
      <w:r w:rsidR="005E5B22">
        <w:rPr>
          <w:rFonts w:eastAsia="宋体"/>
        </w:rPr>
        <w:t xml:space="preserve">vertical mobility. </w:t>
      </w:r>
      <w:r w:rsidR="00766935">
        <w:rPr>
          <w:rFonts w:eastAsia="宋体"/>
        </w:rPr>
        <w:t>From our point of view, following method</w:t>
      </w:r>
      <w:r w:rsidR="008C1CC2">
        <w:rPr>
          <w:rFonts w:eastAsia="宋体"/>
        </w:rPr>
        <w:t>s</w:t>
      </w:r>
      <w:r w:rsidR="00766935">
        <w:rPr>
          <w:rFonts w:eastAsia="宋体"/>
        </w:rPr>
        <w:t xml:space="preserve"> can achieve the combination between height</w:t>
      </w:r>
      <w:r w:rsidR="008C1CC2">
        <w:rPr>
          <w:rFonts w:eastAsia="宋体"/>
        </w:rPr>
        <w:t>-based</w:t>
      </w:r>
      <w:r w:rsidR="00766935">
        <w:rPr>
          <w:rFonts w:eastAsia="宋体"/>
        </w:rPr>
        <w:t xml:space="preserve"> and </w:t>
      </w:r>
      <w:r w:rsidR="00766935" w:rsidRPr="008E5139">
        <w:rPr>
          <w:rFonts w:eastAsia="宋体"/>
        </w:rPr>
        <w:t>RSRP/RSRQ/SINR-based condition</w:t>
      </w:r>
      <w:r w:rsidR="003654AA">
        <w:rPr>
          <w:rFonts w:eastAsia="宋体"/>
        </w:rPr>
        <w:t>s</w:t>
      </w:r>
      <w:r w:rsidR="00766935">
        <w:rPr>
          <w:rFonts w:eastAsia="宋体"/>
        </w:rPr>
        <w:t>.</w:t>
      </w:r>
    </w:p>
    <w:p w14:paraId="3B71ECEA" w14:textId="4CF30C63" w:rsidR="00FD342E" w:rsidRDefault="008612DE" w:rsidP="00FD342E">
      <w:pPr>
        <w:spacing w:before="156" w:after="156"/>
        <w:rPr>
          <w:rFonts w:eastAsia="宋体"/>
          <w:lang w:val="en-GB"/>
        </w:rPr>
      </w:pPr>
      <w:r>
        <w:rPr>
          <w:rFonts w:eastAsia="宋体"/>
        </w:rPr>
        <w:t>One approach is to define a</w:t>
      </w:r>
      <w:r w:rsidR="00C37588">
        <w:rPr>
          <w:rFonts w:eastAsia="宋体"/>
        </w:rPr>
        <w:t xml:space="preserve"> new event</w:t>
      </w:r>
      <w:r w:rsidR="004F15F3">
        <w:rPr>
          <w:rFonts w:eastAsia="宋体"/>
        </w:rPr>
        <w:t xml:space="preserve"> </w:t>
      </w:r>
      <w:r w:rsidR="004F15F3" w:rsidRPr="00FD342E">
        <w:rPr>
          <w:rFonts w:eastAsia="宋体"/>
        </w:rPr>
        <w:t>with entering conditions concerns both UE height and neighbor</w:t>
      </w:r>
      <w:r>
        <w:rPr>
          <w:rFonts w:eastAsia="宋体"/>
        </w:rPr>
        <w:t>ing cell</w:t>
      </w:r>
      <w:r w:rsidR="004F15F3" w:rsidRPr="00FD342E">
        <w:rPr>
          <w:rFonts w:eastAsia="宋体"/>
        </w:rPr>
        <w:t xml:space="preserve"> quality</w:t>
      </w:r>
      <w:r w:rsidR="00C37588">
        <w:rPr>
          <w:rFonts w:eastAsia="宋体"/>
        </w:rPr>
        <w:t xml:space="preserve">. </w:t>
      </w:r>
      <w:r w:rsidR="00793748">
        <w:rPr>
          <w:rFonts w:eastAsia="宋体"/>
        </w:rPr>
        <w:t>However,</w:t>
      </w:r>
      <w:r w:rsidR="00C37588">
        <w:rPr>
          <w:rFonts w:eastAsia="宋体"/>
        </w:rPr>
        <w:t xml:space="preserve"> the </w:t>
      </w:r>
      <w:r w:rsidR="00F474EF">
        <w:rPr>
          <w:rFonts w:eastAsia="宋体"/>
        </w:rPr>
        <w:t xml:space="preserve">neighboring cell quality condition is evaluated </w:t>
      </w:r>
      <w:r w:rsidR="00793748">
        <w:rPr>
          <w:rFonts w:eastAsia="宋体"/>
        </w:rPr>
        <w:t>by</w:t>
      </w:r>
      <w:r w:rsidR="00F474EF">
        <w:rPr>
          <w:rFonts w:eastAsia="宋体"/>
        </w:rPr>
        <w:t xml:space="preserve"> </w:t>
      </w:r>
      <w:r w:rsidR="00F474EF" w:rsidRPr="008E5139">
        <w:rPr>
          <w:rFonts w:eastAsia="宋体"/>
        </w:rPr>
        <w:t>RSRP/RSRQ/SINR</w:t>
      </w:r>
      <w:r w:rsidR="00F474EF">
        <w:rPr>
          <w:rFonts w:eastAsia="宋体"/>
        </w:rPr>
        <w:t xml:space="preserve"> </w:t>
      </w:r>
      <w:r w:rsidR="00F474EF" w:rsidRPr="00F474EF">
        <w:rPr>
          <w:rFonts w:eastAsia="宋体"/>
          <w:lang w:val="en-GB"/>
        </w:rPr>
        <w:t>measurements after layer 3 filtering</w:t>
      </w:r>
      <w:r w:rsidR="00F474EF">
        <w:rPr>
          <w:rFonts w:eastAsia="宋体"/>
          <w:lang w:val="en-GB"/>
        </w:rPr>
        <w:t>, while the height condition is</w:t>
      </w:r>
      <w:r w:rsidR="00F474EF" w:rsidRPr="00F474EF">
        <w:rPr>
          <w:rFonts w:eastAsia="宋体"/>
        </w:rPr>
        <w:t xml:space="preserve"> </w:t>
      </w:r>
      <w:r w:rsidR="00F474EF">
        <w:rPr>
          <w:rFonts w:eastAsia="宋体"/>
        </w:rPr>
        <w:t xml:space="preserve">evaluated with the measured UE height. </w:t>
      </w:r>
      <w:r w:rsidR="003B0FA5">
        <w:rPr>
          <w:rFonts w:eastAsia="宋体"/>
        </w:rPr>
        <w:t xml:space="preserve">Since RSRP/RSRQ/SINR and height measurements are independent, </w:t>
      </w:r>
      <w:r>
        <w:rPr>
          <w:rFonts w:eastAsia="宋体"/>
        </w:rPr>
        <w:t>it is difficult to</w:t>
      </w:r>
      <w:r w:rsidR="008C1CC2">
        <w:rPr>
          <w:rFonts w:eastAsia="宋体"/>
        </w:rPr>
        <w:t xml:space="preserve"> </w:t>
      </w:r>
      <w:r w:rsidRPr="008612DE">
        <w:rPr>
          <w:rFonts w:eastAsia="宋体"/>
        </w:rPr>
        <w:t xml:space="preserve">guarantee </w:t>
      </w:r>
      <w:r>
        <w:rPr>
          <w:rFonts w:eastAsia="宋体"/>
        </w:rPr>
        <w:t xml:space="preserve">that </w:t>
      </w:r>
      <w:r w:rsidR="008C1CC2">
        <w:rPr>
          <w:rFonts w:eastAsia="宋体"/>
        </w:rPr>
        <w:t>the measurement results</w:t>
      </w:r>
      <w:r w:rsidR="00D1553F">
        <w:rPr>
          <w:rFonts w:eastAsia="宋体"/>
        </w:rPr>
        <w:t xml:space="preserve"> </w:t>
      </w:r>
      <w:r>
        <w:rPr>
          <w:rFonts w:eastAsia="宋体"/>
        </w:rPr>
        <w:t xml:space="preserve">used </w:t>
      </w:r>
      <w:r w:rsidR="00D1553F">
        <w:rPr>
          <w:rFonts w:eastAsia="宋体"/>
        </w:rPr>
        <w:t xml:space="preserve">to evaluate those two conditions </w:t>
      </w:r>
      <w:r>
        <w:rPr>
          <w:rFonts w:eastAsia="宋体"/>
        </w:rPr>
        <w:t>are</w:t>
      </w:r>
      <w:r w:rsidR="00D1553F">
        <w:rPr>
          <w:rFonts w:eastAsia="宋体"/>
        </w:rPr>
        <w:t xml:space="preserve"> available </w:t>
      </w:r>
      <w:r w:rsidR="00D1553F" w:rsidRPr="00553770">
        <w:rPr>
          <w:rFonts w:eastAsia="宋体"/>
        </w:rPr>
        <w:t>simultaneously</w:t>
      </w:r>
      <w:r w:rsidR="008C1CC2">
        <w:rPr>
          <w:rFonts w:eastAsia="宋体"/>
        </w:rPr>
        <w:t>.</w:t>
      </w:r>
      <w:r w:rsidR="009F0221">
        <w:rPr>
          <w:rFonts w:eastAsia="宋体"/>
        </w:rPr>
        <w:t xml:space="preserve"> In our view, this approach may have impacts on UE measurement behavior. </w:t>
      </w:r>
    </w:p>
    <w:p w14:paraId="66AADB76" w14:textId="164F1C9E" w:rsidR="00C77C20" w:rsidRDefault="00793748" w:rsidP="00C77C20">
      <w:pPr>
        <w:spacing w:before="156" w:after="156"/>
        <w:rPr>
          <w:rFonts w:eastAsia="宋体"/>
        </w:rPr>
      </w:pPr>
      <w:r>
        <w:rPr>
          <w:rFonts w:eastAsia="宋体" w:hint="eastAsia"/>
        </w:rPr>
        <w:t>A</w:t>
      </w:r>
      <w:r>
        <w:rPr>
          <w:rFonts w:eastAsia="宋体"/>
        </w:rPr>
        <w:t xml:space="preserve">nother approach is to </w:t>
      </w:r>
      <w:r w:rsidR="00284DD1">
        <w:rPr>
          <w:rFonts w:eastAsia="宋体"/>
        </w:rPr>
        <w:t xml:space="preserve">introduce a </w:t>
      </w:r>
      <w:r w:rsidR="00284DD1" w:rsidRPr="00C77C20">
        <w:rPr>
          <w:rFonts w:eastAsia="宋体"/>
        </w:rPr>
        <w:t>new triggering condition for measurement report initiation</w:t>
      </w:r>
      <w:r w:rsidR="00284DD1">
        <w:rPr>
          <w:rFonts w:eastAsia="宋体"/>
        </w:rPr>
        <w:t xml:space="preserve">. For example, the network can configure two </w:t>
      </w:r>
      <w:r w:rsidR="009F0221">
        <w:rPr>
          <w:rFonts w:eastAsia="宋体"/>
        </w:rPr>
        <w:t xml:space="preserve">measurement </w:t>
      </w:r>
      <w:r w:rsidR="00284DD1">
        <w:rPr>
          <w:rFonts w:eastAsia="宋体"/>
        </w:rPr>
        <w:t>events</w:t>
      </w:r>
      <w:r w:rsidR="00D936D2">
        <w:rPr>
          <w:rFonts w:eastAsia="宋体"/>
        </w:rPr>
        <w:t>, only the triggering conditions of both configured event</w:t>
      </w:r>
      <w:r w:rsidR="003654AA" w:rsidRPr="001E7AC7">
        <w:rPr>
          <w:rFonts w:eastAsia="宋体" w:hint="eastAsia"/>
        </w:rPr>
        <w:t>s</w:t>
      </w:r>
      <w:r w:rsidR="00D936D2">
        <w:rPr>
          <w:rFonts w:eastAsia="宋体"/>
        </w:rPr>
        <w:t xml:space="preserve"> are fulfilled within a duration</w:t>
      </w:r>
      <w:r w:rsidR="009F0221">
        <w:rPr>
          <w:rFonts w:eastAsia="宋体"/>
        </w:rPr>
        <w:t xml:space="preserve"> (i.e.</w:t>
      </w:r>
      <w:r w:rsidR="00D936D2">
        <w:rPr>
          <w:rFonts w:eastAsia="宋体"/>
        </w:rPr>
        <w:t>, the joint con</w:t>
      </w:r>
      <w:r w:rsidR="00414873">
        <w:rPr>
          <w:rFonts w:eastAsia="宋体"/>
        </w:rPr>
        <w:t>dition for measurement report</w:t>
      </w:r>
      <w:r w:rsidR="00D936D2">
        <w:rPr>
          <w:rFonts w:eastAsia="宋体"/>
        </w:rPr>
        <w:t xml:space="preserve"> triggering </w:t>
      </w:r>
      <w:r w:rsidR="00D00144">
        <w:rPr>
          <w:rFonts w:eastAsia="宋体"/>
        </w:rPr>
        <w:t>is</w:t>
      </w:r>
      <w:r w:rsidR="00D936D2">
        <w:rPr>
          <w:rFonts w:eastAsia="宋体"/>
        </w:rPr>
        <w:t xml:space="preserve"> considered to be fulfilled</w:t>
      </w:r>
      <w:r w:rsidR="009F0221">
        <w:rPr>
          <w:rFonts w:eastAsia="宋体"/>
        </w:rPr>
        <w:t>)</w:t>
      </w:r>
      <w:r w:rsidR="00D936D2">
        <w:rPr>
          <w:rFonts w:eastAsia="宋体"/>
        </w:rPr>
        <w:t>.</w:t>
      </w:r>
      <w:r w:rsidR="0017377B">
        <w:rPr>
          <w:rFonts w:eastAsia="宋体"/>
        </w:rPr>
        <w:t xml:space="preserve"> </w:t>
      </w:r>
      <w:r w:rsidR="001F27A7">
        <w:rPr>
          <w:rFonts w:eastAsia="宋体" w:hint="eastAsia"/>
        </w:rPr>
        <w:t>By</w:t>
      </w:r>
      <w:r w:rsidR="001F27A7">
        <w:rPr>
          <w:rFonts w:eastAsia="宋体"/>
        </w:rPr>
        <w:t xml:space="preserve"> this approach, the legacy measurement events can be reused and there is no impact on UE measurement behavior.</w:t>
      </w:r>
    </w:p>
    <w:p w14:paraId="25DD715A" w14:textId="53F71716" w:rsidR="00393708" w:rsidRDefault="00393708" w:rsidP="00393708">
      <w:pPr>
        <w:pStyle w:val="1st-ob-YJ"/>
        <w:spacing w:before="156" w:after="156"/>
        <w:rPr>
          <w:rFonts w:eastAsia="宋体"/>
        </w:rPr>
      </w:pPr>
      <w:bookmarkStart w:id="5" w:name="_Toc126830706"/>
      <w:bookmarkStart w:id="6" w:name="_Toc126832484"/>
      <w:bookmarkStart w:id="7" w:name="_Toc126832546"/>
      <w:bookmarkStart w:id="8" w:name="_Toc126939727"/>
      <w:bookmarkStart w:id="9" w:name="_Toc126940814"/>
      <w:bookmarkStart w:id="10" w:name="_Toc127456266"/>
      <w:r>
        <w:rPr>
          <w:rFonts w:eastAsia="宋体" w:hint="eastAsia"/>
        </w:rPr>
        <w:t>Define</w:t>
      </w:r>
      <w:r w:rsidR="002C1C33">
        <w:rPr>
          <w:rFonts w:eastAsia="宋体"/>
        </w:rPr>
        <w:t xml:space="preserve"> a</w:t>
      </w:r>
      <w:r>
        <w:rPr>
          <w:rFonts w:eastAsia="宋体"/>
        </w:rPr>
        <w:t xml:space="preserve"> </w:t>
      </w:r>
      <w:r>
        <w:rPr>
          <w:rFonts w:eastAsia="宋体" w:hint="eastAsia"/>
        </w:rPr>
        <w:t>new</w:t>
      </w:r>
      <w:r>
        <w:rPr>
          <w:rFonts w:eastAsia="宋体"/>
        </w:rPr>
        <w:t xml:space="preserve"> measurement event may have impact</w:t>
      </w:r>
      <w:r w:rsidR="001E7AC7">
        <w:rPr>
          <w:rFonts w:eastAsia="宋体"/>
        </w:rPr>
        <w:t>s</w:t>
      </w:r>
      <w:r>
        <w:rPr>
          <w:rFonts w:eastAsia="宋体"/>
        </w:rPr>
        <w:t xml:space="preserve"> on </w:t>
      </w:r>
      <w:r w:rsidRPr="004A0249">
        <w:rPr>
          <w:rFonts w:eastAsia="宋体"/>
        </w:rPr>
        <w:t>UE measurement behavior</w:t>
      </w:r>
      <w:r>
        <w:rPr>
          <w:rFonts w:eastAsia="宋体"/>
        </w:rPr>
        <w:t>.</w:t>
      </w:r>
      <w:bookmarkEnd w:id="5"/>
      <w:bookmarkEnd w:id="6"/>
      <w:bookmarkEnd w:id="7"/>
      <w:bookmarkEnd w:id="8"/>
      <w:bookmarkEnd w:id="9"/>
      <w:bookmarkEnd w:id="10"/>
    </w:p>
    <w:p w14:paraId="0F8C5A9C" w14:textId="0D9573D4" w:rsidR="00F33894" w:rsidRDefault="00F33894" w:rsidP="00F33894">
      <w:pPr>
        <w:pStyle w:val="1st-Proposal-YJ"/>
        <w:spacing w:before="156" w:after="156"/>
        <w:rPr>
          <w:rFonts w:eastAsia="宋体"/>
        </w:rPr>
      </w:pPr>
      <w:bookmarkStart w:id="11" w:name="_Toc126830709"/>
      <w:bookmarkStart w:id="12" w:name="_Toc126832487"/>
      <w:bookmarkStart w:id="13" w:name="_Toc126832549"/>
      <w:bookmarkStart w:id="14" w:name="_Toc126939730"/>
      <w:bookmarkStart w:id="15" w:name="_Toc126940817"/>
      <w:bookmarkStart w:id="16" w:name="_Toc127456269"/>
      <w:r>
        <w:rPr>
          <w:rFonts w:eastAsia="宋体"/>
        </w:rPr>
        <w:t>Introduce</w:t>
      </w:r>
      <w:r w:rsidR="001F68D2">
        <w:rPr>
          <w:rFonts w:eastAsia="宋体"/>
        </w:rPr>
        <w:t xml:space="preserve"> a</w:t>
      </w:r>
      <w:r>
        <w:rPr>
          <w:rFonts w:eastAsia="宋体"/>
        </w:rPr>
        <w:t xml:space="preserve"> </w:t>
      </w:r>
      <w:r w:rsidRPr="00C77C20">
        <w:rPr>
          <w:rFonts w:eastAsia="宋体"/>
        </w:rPr>
        <w:t>new</w:t>
      </w:r>
      <w:r>
        <w:rPr>
          <w:rFonts w:eastAsia="宋体"/>
        </w:rPr>
        <w:t xml:space="preserve"> measurement report</w:t>
      </w:r>
      <w:r w:rsidR="003A27FD">
        <w:rPr>
          <w:rFonts w:eastAsia="宋体"/>
        </w:rPr>
        <w:t xml:space="preserve"> triggering mechanism instead of</w:t>
      </w:r>
      <w:r w:rsidR="001F68D2">
        <w:rPr>
          <w:rFonts w:eastAsia="宋体"/>
        </w:rPr>
        <w:t xml:space="preserve"> a</w:t>
      </w:r>
      <w:r w:rsidR="003A27FD">
        <w:rPr>
          <w:rFonts w:eastAsia="宋体"/>
        </w:rPr>
        <w:t xml:space="preserve"> new measurement event</w:t>
      </w:r>
      <w:r w:rsidR="00985FED">
        <w:rPr>
          <w:rFonts w:eastAsia="宋体"/>
        </w:rPr>
        <w:t>.</w:t>
      </w:r>
      <w:bookmarkEnd w:id="11"/>
      <w:bookmarkEnd w:id="12"/>
      <w:bookmarkEnd w:id="13"/>
      <w:bookmarkEnd w:id="14"/>
      <w:bookmarkEnd w:id="15"/>
      <w:bookmarkEnd w:id="16"/>
    </w:p>
    <w:p w14:paraId="7A2ADEFA" w14:textId="7F3374D9" w:rsidR="00C77C20" w:rsidRPr="007D303C" w:rsidRDefault="00682B7E" w:rsidP="00C77C20">
      <w:pPr>
        <w:pStyle w:val="2"/>
        <w:spacing w:before="156"/>
        <w:ind w:right="200"/>
        <w:rPr>
          <w:rFonts w:eastAsia="宋体"/>
        </w:rPr>
      </w:pPr>
      <w:r>
        <w:rPr>
          <w:rFonts w:eastAsia="宋体"/>
        </w:rPr>
        <w:lastRenderedPageBreak/>
        <w:t>2.2</w:t>
      </w:r>
      <w:r w:rsidR="00C77C20" w:rsidRPr="007D303C">
        <w:rPr>
          <w:rFonts w:eastAsia="宋体"/>
        </w:rPr>
        <w:t xml:space="preserve"> </w:t>
      </w:r>
      <w:r w:rsidR="00C77C20">
        <w:rPr>
          <w:rStyle w:val="af0"/>
          <w:i w:val="0"/>
        </w:rPr>
        <w:t>H</w:t>
      </w:r>
      <w:r w:rsidR="00C77C20" w:rsidRPr="00761DA5">
        <w:rPr>
          <w:rStyle w:val="af0"/>
          <w:i w:val="0"/>
        </w:rPr>
        <w:t>eight-depend</w:t>
      </w:r>
      <w:r w:rsidR="00C77C20">
        <w:rPr>
          <w:rStyle w:val="af0"/>
          <w:i w:val="0"/>
        </w:rPr>
        <w:t>ent adjustment</w:t>
      </w:r>
    </w:p>
    <w:p w14:paraId="09E95F06" w14:textId="2CC2DB2A" w:rsidR="002076BB" w:rsidRDefault="00EC0DE3" w:rsidP="00EC0DE3">
      <w:pPr>
        <w:spacing w:before="156" w:after="156"/>
      </w:pPr>
      <w:r>
        <w:t xml:space="preserve">UAV UEs have different communications characteristic from normal terrestrial UEs as the radio characteristic will </w:t>
      </w:r>
      <w:r w:rsidRPr="00AB0A11">
        <w:t>vary with altitudes</w:t>
      </w:r>
      <w:r>
        <w:t>. Based on this, height</w:t>
      </w:r>
      <w:r w:rsidR="007A4D7F">
        <w:rPr>
          <w:rStyle w:val="af0"/>
          <w:i w:val="0"/>
        </w:rPr>
        <w:t xml:space="preserve"> </w:t>
      </w:r>
      <w:r w:rsidR="003674C6" w:rsidRPr="00761DA5">
        <w:rPr>
          <w:rStyle w:val="af0"/>
          <w:i w:val="0"/>
        </w:rPr>
        <w:t>depend</w:t>
      </w:r>
      <w:r w:rsidR="003674C6">
        <w:rPr>
          <w:rStyle w:val="af0"/>
          <w:i w:val="0"/>
        </w:rPr>
        <w:t>ent</w:t>
      </w:r>
      <w:r w:rsidR="003674C6" w:rsidDel="003674C6">
        <w:t xml:space="preserve"> </w:t>
      </w:r>
      <w:r w:rsidRPr="009E2564">
        <w:rPr>
          <w:rFonts w:hint="eastAsia"/>
        </w:rPr>
        <w:t>RRM</w:t>
      </w:r>
      <w:r>
        <w:t xml:space="preserve"> </w:t>
      </w:r>
      <w:r w:rsidRPr="009E2564">
        <w:t>measure</w:t>
      </w:r>
      <w:r>
        <w:rPr>
          <w:rFonts w:eastAsiaTheme="minorEastAsia"/>
        </w:rPr>
        <w:t>ment configurations</w:t>
      </w:r>
      <w:r>
        <w:t xml:space="preserve"> for NR UAVs could be considered to </w:t>
      </w:r>
      <w:r>
        <w:rPr>
          <w:rFonts w:eastAsiaTheme="minorEastAsia"/>
        </w:rPr>
        <w:t>achieve f</w:t>
      </w:r>
      <w:r w:rsidRPr="00A63796">
        <w:rPr>
          <w:rFonts w:eastAsiaTheme="minorEastAsia"/>
        </w:rPr>
        <w:t xml:space="preserve">iner </w:t>
      </w:r>
      <w:r>
        <w:rPr>
          <w:rFonts w:eastAsiaTheme="minorEastAsia"/>
        </w:rPr>
        <w:t>control of measurements and reporting behaviors.</w:t>
      </w:r>
      <w:r>
        <w:t xml:space="preserve"> </w:t>
      </w:r>
    </w:p>
    <w:p w14:paraId="0569F2C8" w14:textId="5B562786" w:rsidR="00EC0DE3" w:rsidRDefault="00EC0DE3" w:rsidP="00EC0DE3">
      <w:pPr>
        <w:spacing w:before="156" w:after="156"/>
        <w:rPr>
          <w:rFonts w:eastAsiaTheme="minorEastAsia"/>
        </w:rPr>
      </w:pPr>
      <w:r>
        <w:t>From our perspective, at least following</w:t>
      </w:r>
      <w:r w:rsidR="002076BB">
        <w:t xml:space="preserve"> parameters</w:t>
      </w:r>
      <w:r w:rsidR="008C2C4B">
        <w:t xml:space="preserve"> for </w:t>
      </w:r>
      <w:r w:rsidR="008C2C4B" w:rsidRPr="002076BB">
        <w:t>measurement performing</w:t>
      </w:r>
      <w:r w:rsidR="008C2C4B">
        <w:t xml:space="preserve"> and </w:t>
      </w:r>
      <w:r w:rsidR="008C2C4B" w:rsidRPr="002076BB">
        <w:t>measurement report triggering</w:t>
      </w:r>
      <w:r w:rsidR="002076BB">
        <w:t xml:space="preserve"> could be considered:</w:t>
      </w:r>
    </w:p>
    <w:p w14:paraId="70AF75CD" w14:textId="445AF30F" w:rsidR="007F28D1" w:rsidRDefault="00D75AF3" w:rsidP="00AD5DD2">
      <w:pPr>
        <w:spacing w:before="156" w:after="156"/>
      </w:pPr>
      <w:bookmarkStart w:id="17" w:name="_Toc72163958"/>
      <w:bookmarkStart w:id="18" w:name="_Toc72164083"/>
      <w:bookmarkStart w:id="19" w:name="_Toc72164151"/>
      <w:bookmarkStart w:id="20" w:name="_Toc72164281"/>
      <w:bookmarkStart w:id="21" w:name="_Toc72166021"/>
      <w:bookmarkStart w:id="22" w:name="_Toc72166096"/>
      <w:bookmarkStart w:id="23" w:name="_Toc72166120"/>
      <w:bookmarkStart w:id="24" w:name="_Toc72166132"/>
      <w:bookmarkStart w:id="25" w:name="_Toc72166144"/>
      <w:bookmarkStart w:id="26" w:name="_Toc72166215"/>
      <w:bookmarkStart w:id="27" w:name="_Toc72166223"/>
      <w:bookmarkStart w:id="28" w:name="_Toc72764097"/>
      <w:bookmarkStart w:id="29" w:name="_Toc72764105"/>
      <w:bookmarkStart w:id="30" w:name="_Toc72764113"/>
      <w:bookmarkStart w:id="31" w:name="_Toc72764121"/>
      <w:r w:rsidRPr="00895E65">
        <w:rPr>
          <w:b/>
          <w:bCs/>
          <w:noProof/>
          <w:lang w:eastAsia="en-GB"/>
        </w:rPr>
        <w:t>Excluded Cell List</w:t>
      </w:r>
      <w:r w:rsidR="001B1C2E">
        <w:rPr>
          <w:b/>
        </w:rPr>
        <w:t>:</w:t>
      </w:r>
      <w:r w:rsidR="001B1C2E">
        <w:rPr>
          <w:rFonts w:eastAsiaTheme="minorEastAsia" w:hint="eastAsia"/>
        </w:rPr>
        <w:t xml:space="preserve"> </w:t>
      </w:r>
      <w:r w:rsidR="00EB67D4">
        <w:rPr>
          <w:rFonts w:eastAsia="宋体"/>
        </w:rPr>
        <w:t>I</w:t>
      </w:r>
      <w:r w:rsidR="00EB67D4" w:rsidRPr="001C384F">
        <w:rPr>
          <w:rFonts w:eastAsia="宋体"/>
        </w:rPr>
        <w:t xml:space="preserve">f </w:t>
      </w:r>
      <w:r w:rsidR="00534031">
        <w:rPr>
          <w:rFonts w:eastAsia="宋体"/>
        </w:rPr>
        <w:t>UAV UE</w:t>
      </w:r>
      <w:r w:rsidR="00EB67D4">
        <w:rPr>
          <w:rFonts w:eastAsia="宋体"/>
        </w:rPr>
        <w:t xml:space="preserve"> is required </w:t>
      </w:r>
      <w:r w:rsidR="00EB67D4" w:rsidRPr="001C384F">
        <w:rPr>
          <w:rFonts w:eastAsia="宋体"/>
        </w:rPr>
        <w:t xml:space="preserve">to perform geo-fencing in </w:t>
      </w:r>
      <w:r w:rsidR="007D31E2">
        <w:rPr>
          <w:rFonts w:eastAsia="宋体"/>
        </w:rPr>
        <w:t>airspace</w:t>
      </w:r>
      <w:r w:rsidR="00EB67D4" w:rsidRPr="001C384F">
        <w:rPr>
          <w:rFonts w:eastAsia="宋体"/>
        </w:rPr>
        <w:t xml:space="preserve">, </w:t>
      </w:r>
      <w:r w:rsidR="00C8252D">
        <w:rPr>
          <w:rFonts w:eastAsia="宋体"/>
        </w:rPr>
        <w:t xml:space="preserve">performing </w:t>
      </w:r>
      <w:r w:rsidR="00EB67D4" w:rsidRPr="001C384F">
        <w:rPr>
          <w:rFonts w:eastAsia="宋体"/>
        </w:rPr>
        <w:t xml:space="preserve">measurement </w:t>
      </w:r>
      <w:r w:rsidR="00F10271">
        <w:rPr>
          <w:rFonts w:eastAsia="宋体"/>
        </w:rPr>
        <w:t xml:space="preserve">on </w:t>
      </w:r>
      <w:r w:rsidR="00F10271" w:rsidRPr="001C384F">
        <w:rPr>
          <w:rFonts w:eastAsia="宋体"/>
        </w:rPr>
        <w:t>cells</w:t>
      </w:r>
      <w:r w:rsidR="00F10271">
        <w:rPr>
          <w:rFonts w:eastAsia="宋体"/>
        </w:rPr>
        <w:t xml:space="preserve"> in which flying is not allowed</w:t>
      </w:r>
      <w:r w:rsidR="00F10271" w:rsidRPr="001C384F">
        <w:rPr>
          <w:rFonts w:eastAsia="宋体"/>
        </w:rPr>
        <w:t xml:space="preserve"> </w:t>
      </w:r>
      <w:r w:rsidR="00EB67D4" w:rsidRPr="001C384F">
        <w:rPr>
          <w:rFonts w:eastAsia="宋体"/>
        </w:rPr>
        <w:t>is unnecessary.</w:t>
      </w:r>
      <w:r w:rsidR="00EB67D4">
        <w:rPr>
          <w:rFonts w:eastAsia="宋体"/>
        </w:rPr>
        <w:t xml:space="preserve"> </w:t>
      </w:r>
      <w:r w:rsidR="00F62F00">
        <w:rPr>
          <w:rFonts w:eastAsia="宋体"/>
        </w:rPr>
        <w:t xml:space="preserve">Therefore, </w:t>
      </w:r>
      <w:r w:rsidR="00A726AE">
        <w:rPr>
          <w:rFonts w:eastAsia="宋体"/>
        </w:rPr>
        <w:t>associate</w:t>
      </w:r>
      <w:r w:rsidR="00F62F00">
        <w:rPr>
          <w:rFonts w:eastAsia="宋体"/>
        </w:rPr>
        <w:t xml:space="preserve"> </w:t>
      </w:r>
      <w:r w:rsidR="00FC2D57" w:rsidRPr="00895E65">
        <w:rPr>
          <w:rFonts w:eastAsia="宋体"/>
        </w:rPr>
        <w:t xml:space="preserve">exclude-listed intra-frequency neighboring </w:t>
      </w:r>
      <w:r w:rsidR="00F62F00" w:rsidRPr="00895E65">
        <w:rPr>
          <w:rFonts w:eastAsia="宋体"/>
        </w:rPr>
        <w:t xml:space="preserve">cells </w:t>
      </w:r>
      <w:r w:rsidR="00A726AE" w:rsidRPr="00895E65">
        <w:rPr>
          <w:rFonts w:eastAsia="宋体"/>
        </w:rPr>
        <w:t>to</w:t>
      </w:r>
      <w:r w:rsidR="00F62F00" w:rsidRPr="00895E65">
        <w:rPr>
          <w:rFonts w:eastAsia="宋体"/>
        </w:rPr>
        <w:t xml:space="preserve"> </w:t>
      </w:r>
      <w:r w:rsidR="00A726AE" w:rsidRPr="00895E65">
        <w:rPr>
          <w:rFonts w:eastAsia="宋体"/>
        </w:rPr>
        <w:t xml:space="preserve">flying altitude can limit excessive measurements for </w:t>
      </w:r>
      <w:r w:rsidR="00DD61D3" w:rsidRPr="00895E65">
        <w:rPr>
          <w:rFonts w:eastAsia="宋体"/>
        </w:rPr>
        <w:t xml:space="preserve">UAV </w:t>
      </w:r>
      <w:r w:rsidR="00A726AE" w:rsidRPr="00895E65">
        <w:rPr>
          <w:rFonts w:eastAsia="宋体"/>
        </w:rPr>
        <w:t xml:space="preserve">UE operating at </w:t>
      </w:r>
      <w:r w:rsidR="007302B9" w:rsidRPr="00895E65">
        <w:rPr>
          <w:rFonts w:eastAsia="宋体"/>
        </w:rPr>
        <w:t>the corresponding</w:t>
      </w:r>
      <w:r w:rsidR="00A726AE" w:rsidRPr="00895E65">
        <w:rPr>
          <w:rFonts w:eastAsia="宋体"/>
        </w:rPr>
        <w:t xml:space="preserve"> altitude.</w:t>
      </w:r>
      <w:r w:rsidR="007302B9" w:rsidRPr="00895E65">
        <w:rPr>
          <w:rFonts w:eastAsia="宋体"/>
        </w:rPr>
        <w:t xml:space="preserve"> </w:t>
      </w:r>
      <w:r w:rsidR="007F28D1" w:rsidRPr="00895E65">
        <w:rPr>
          <w:rFonts w:eastAsia="宋体"/>
        </w:rPr>
        <w:t xml:space="preserve">The </w:t>
      </w:r>
      <w:r w:rsidR="00460630" w:rsidRPr="00895E65">
        <w:rPr>
          <w:rFonts w:eastAsia="宋体"/>
        </w:rPr>
        <w:t xml:space="preserve">determination </w:t>
      </w:r>
      <w:r w:rsidR="007F28D1" w:rsidRPr="00895E65">
        <w:rPr>
          <w:rFonts w:eastAsia="宋体"/>
        </w:rPr>
        <w:t xml:space="preserve">of </w:t>
      </w:r>
      <w:r w:rsidR="00FC2D57" w:rsidRPr="00895E65">
        <w:rPr>
          <w:rFonts w:eastAsia="宋体"/>
        </w:rPr>
        <w:t>exclude-listed intra-frequency neighboring cells</w:t>
      </w:r>
      <w:r w:rsidR="007F28D1" w:rsidRPr="00895E65">
        <w:rPr>
          <w:rFonts w:eastAsia="宋体"/>
        </w:rPr>
        <w:t xml:space="preserve"> </w:t>
      </w:r>
      <w:r w:rsidR="00FF41C9" w:rsidRPr="00895E65">
        <w:rPr>
          <w:rFonts w:eastAsia="宋体"/>
        </w:rPr>
        <w:t>may be</w:t>
      </w:r>
      <w:r w:rsidR="007F28D1" w:rsidRPr="00895E65">
        <w:rPr>
          <w:rFonts w:eastAsia="宋体"/>
        </w:rPr>
        <w:t xml:space="preserve"> no-fly zone</w:t>
      </w:r>
      <w:r w:rsidR="00FF41C9" w:rsidRPr="00895E65">
        <w:rPr>
          <w:rFonts w:eastAsia="宋体"/>
        </w:rPr>
        <w:t xml:space="preserve"> </w:t>
      </w:r>
      <w:r w:rsidR="007F28D1" w:rsidRPr="00895E65">
        <w:rPr>
          <w:rFonts w:eastAsia="宋体"/>
        </w:rPr>
        <w:t xml:space="preserve">according to local fight policies and regulations, </w:t>
      </w:r>
      <w:r w:rsidR="00623839" w:rsidRPr="00895E65">
        <w:rPr>
          <w:rFonts w:eastAsia="宋体"/>
        </w:rPr>
        <w:t>i.e</w:t>
      </w:r>
      <w:r w:rsidR="007F28D1" w:rsidRPr="00895E65">
        <w:rPr>
          <w:rFonts w:eastAsia="宋体"/>
        </w:rPr>
        <w:t>., FAA regulations.</w:t>
      </w:r>
      <w:r w:rsidR="00A91EAE" w:rsidRPr="00895E65">
        <w:rPr>
          <w:rFonts w:eastAsia="宋体"/>
        </w:rPr>
        <w:t xml:space="preserve"> </w:t>
      </w:r>
    </w:p>
    <w:p w14:paraId="4AA4AFE5" w14:textId="6875CCE1" w:rsidR="00B23DB1" w:rsidRPr="00895E65" w:rsidRDefault="0012179E" w:rsidP="004B6BB7">
      <w:pPr>
        <w:spacing w:before="156" w:after="156"/>
        <w:rPr>
          <w:rFonts w:eastAsia="宋体"/>
        </w:rPr>
      </w:pPr>
      <w:r w:rsidRPr="0012179E">
        <w:rPr>
          <w:b/>
        </w:rPr>
        <w:t>Allowed cell list</w:t>
      </w:r>
      <w:r w:rsidR="001B1C2E" w:rsidRPr="001B1C2E">
        <w:rPr>
          <w:b/>
        </w:rPr>
        <w:t>:</w:t>
      </w:r>
      <w:r w:rsidR="001B1C2E">
        <w:t xml:space="preserve"> </w:t>
      </w:r>
      <w:r w:rsidR="00923247" w:rsidRPr="00895E65">
        <w:rPr>
          <w:rFonts w:eastAsia="宋体"/>
        </w:rPr>
        <w:t>S</w:t>
      </w:r>
      <w:r w:rsidR="007F28D1" w:rsidRPr="00895E65">
        <w:rPr>
          <w:rFonts w:eastAsia="宋体"/>
        </w:rPr>
        <w:t xml:space="preserve">ince </w:t>
      </w:r>
      <w:r w:rsidR="0041565F" w:rsidRPr="00895E65">
        <w:rPr>
          <w:rFonts w:eastAsia="宋体"/>
        </w:rPr>
        <w:t xml:space="preserve">UAVs may fly along </w:t>
      </w:r>
      <w:r w:rsidR="00460630" w:rsidRPr="00895E65">
        <w:rPr>
          <w:rFonts w:eastAsia="宋体"/>
        </w:rPr>
        <w:t xml:space="preserve">intended </w:t>
      </w:r>
      <w:r w:rsidR="0041565F" w:rsidRPr="00895E65">
        <w:rPr>
          <w:rFonts w:eastAsia="宋体"/>
        </w:rPr>
        <w:t xml:space="preserve">path, </w:t>
      </w:r>
      <w:r w:rsidR="00E2268A" w:rsidRPr="00895E65">
        <w:rPr>
          <w:rFonts w:eastAsia="宋体"/>
        </w:rPr>
        <w:t xml:space="preserve">allow-listed intra-frequency neighboring </w:t>
      </w:r>
      <w:r w:rsidR="0041565F" w:rsidRPr="00895E65">
        <w:rPr>
          <w:rFonts w:eastAsia="宋体"/>
        </w:rPr>
        <w:t>cells can also be configured</w:t>
      </w:r>
      <w:r w:rsidR="003C6159" w:rsidRPr="00895E65">
        <w:rPr>
          <w:rFonts w:eastAsia="宋体"/>
        </w:rPr>
        <w:t xml:space="preserve"> associate to flying altitude. In this way, UAV UEs only need to perform measurements on those cells located in fight allowed zone or </w:t>
      </w:r>
      <w:r w:rsidR="00F34DA2" w:rsidRPr="00895E65">
        <w:rPr>
          <w:rFonts w:eastAsia="宋体"/>
        </w:rPr>
        <w:t>along</w:t>
      </w:r>
      <w:r w:rsidR="003C6159" w:rsidRPr="00895E65">
        <w:rPr>
          <w:rFonts w:eastAsia="宋体"/>
        </w:rPr>
        <w:t xml:space="preserve"> </w:t>
      </w:r>
      <w:r w:rsidR="00F34DA2" w:rsidRPr="00895E65">
        <w:rPr>
          <w:rFonts w:eastAsia="宋体"/>
        </w:rPr>
        <w:t xml:space="preserve">intended </w:t>
      </w:r>
      <w:r w:rsidR="003C6159" w:rsidRPr="00895E65">
        <w:rPr>
          <w:rFonts w:eastAsia="宋体"/>
        </w:rPr>
        <w:t>flight path</w:t>
      </w:r>
      <w:r w:rsidR="001B1C2E" w:rsidRPr="00895E65">
        <w:rPr>
          <w:rFonts w:eastAsia="宋体"/>
        </w:rPr>
        <w:t xml:space="preserve">. </w:t>
      </w:r>
    </w:p>
    <w:p w14:paraId="41D4CD90" w14:textId="4035EC84" w:rsidR="00EB67D4" w:rsidRDefault="005C4A10" w:rsidP="004B6BB7">
      <w:pPr>
        <w:spacing w:before="156" w:after="156"/>
      </w:pPr>
      <w:r w:rsidRPr="00895E65">
        <w:t xml:space="preserve">By associating flying </w:t>
      </w:r>
      <w:r>
        <w:t xml:space="preserve">altitude to </w:t>
      </w:r>
      <w:r w:rsidR="002F5DBC">
        <w:t>exclude-listed</w:t>
      </w:r>
      <w:r w:rsidRPr="00E94F53">
        <w:t xml:space="preserve"> cells</w:t>
      </w:r>
      <w:r w:rsidR="00FD39E0">
        <w:t xml:space="preserve"> </w:t>
      </w:r>
      <w:r w:rsidR="001B1C2E">
        <w:t>or</w:t>
      </w:r>
      <w:r w:rsidR="00FD39E0" w:rsidRPr="00FD39E0">
        <w:t xml:space="preserve"> </w:t>
      </w:r>
      <w:r w:rsidR="002F5DBC" w:rsidRPr="00895E65">
        <w:t>allow-listed</w:t>
      </w:r>
      <w:r w:rsidR="00FD39E0" w:rsidRPr="00FD39E0">
        <w:t xml:space="preserve"> cells</w:t>
      </w:r>
      <w:r>
        <w:t xml:space="preserve">, UE can first determine the UE’s </w:t>
      </w:r>
      <w:r w:rsidRPr="00895E65">
        <w:t xml:space="preserve">flying </w:t>
      </w:r>
      <w:r>
        <w:t xml:space="preserve">altitude </w:t>
      </w:r>
      <w:r w:rsidR="00E32821">
        <w:t xml:space="preserve">(or flying status) and then apply </w:t>
      </w:r>
      <w:r>
        <w:t>corresponding</w:t>
      </w:r>
      <w:r w:rsidR="00E32821">
        <w:t xml:space="preserve"> configurations of</w:t>
      </w:r>
      <w:r>
        <w:t xml:space="preserve"> </w:t>
      </w:r>
      <w:r w:rsidR="003015B1">
        <w:t>e</w:t>
      </w:r>
      <w:r w:rsidR="003015B1" w:rsidRPr="00895E65">
        <w:t xml:space="preserve">xcluded </w:t>
      </w:r>
      <w:r>
        <w:t xml:space="preserve">cell list or </w:t>
      </w:r>
      <w:r w:rsidR="003015B1" w:rsidRPr="00895E65">
        <w:t xml:space="preserve">allowed </w:t>
      </w:r>
      <w:r>
        <w:t>cell list.</w:t>
      </w:r>
      <w:r w:rsidR="00FD39E0">
        <w:t xml:space="preserve"> </w:t>
      </w:r>
    </w:p>
    <w:p w14:paraId="53B00512" w14:textId="3A8EDF34" w:rsidR="00B23DB1" w:rsidRDefault="00B23DB1" w:rsidP="00B23DB1">
      <w:pPr>
        <w:spacing w:before="156" w:after="156"/>
        <w:rPr>
          <w:rFonts w:eastAsiaTheme="minorEastAsia"/>
          <w:bCs/>
        </w:rPr>
      </w:pPr>
      <w:r>
        <w:rPr>
          <w:rFonts w:eastAsiaTheme="minorEastAsia"/>
          <w:b/>
        </w:rPr>
        <w:t xml:space="preserve">Quality </w:t>
      </w:r>
      <w:r w:rsidRPr="00E33FF3">
        <w:rPr>
          <w:rFonts w:eastAsiaTheme="minorEastAsia"/>
          <w:b/>
        </w:rPr>
        <w:t>event triggering threshold:</w:t>
      </w:r>
      <w:r>
        <w:rPr>
          <w:rFonts w:eastAsiaTheme="minorEastAsia"/>
        </w:rPr>
        <w:t xml:space="preserve"> </w:t>
      </w:r>
      <w:r w:rsidR="000B6E18">
        <w:rPr>
          <w:rFonts w:eastAsiaTheme="minorEastAsia"/>
          <w:lang w:val="en-GB"/>
        </w:rPr>
        <w:t>C</w:t>
      </w:r>
      <w:r w:rsidRPr="00776337">
        <w:rPr>
          <w:rFonts w:eastAsiaTheme="minorEastAsia"/>
          <w:lang w:val="en-GB"/>
        </w:rPr>
        <w:t xml:space="preserve">onsider the offset for </w:t>
      </w:r>
      <w:r w:rsidR="000B6E18">
        <w:rPr>
          <w:rFonts w:eastAsiaTheme="minorEastAsia"/>
          <w:lang w:val="en-GB"/>
        </w:rPr>
        <w:t>quality</w:t>
      </w:r>
      <w:r w:rsidRPr="00776337">
        <w:rPr>
          <w:rFonts w:eastAsiaTheme="minorEastAsia"/>
          <w:lang w:val="en-GB"/>
        </w:rPr>
        <w:t xml:space="preserve"> event</w:t>
      </w:r>
      <w:r w:rsidR="00F73F76">
        <w:rPr>
          <w:rFonts w:eastAsiaTheme="minorEastAsia"/>
          <w:lang w:val="en-GB"/>
        </w:rPr>
        <w:t xml:space="preserve"> triggering</w:t>
      </w:r>
      <w:r w:rsidRPr="00776337">
        <w:rPr>
          <w:rFonts w:eastAsiaTheme="minorEastAsia"/>
          <w:lang w:val="en-GB"/>
        </w:rPr>
        <w:t xml:space="preserve"> according to the height of the </w:t>
      </w:r>
      <w:r>
        <w:rPr>
          <w:rFonts w:eastAsiaTheme="minorEastAsia"/>
          <w:lang w:val="en-GB"/>
        </w:rPr>
        <w:t>UAV</w:t>
      </w:r>
      <w:r w:rsidRPr="00776337">
        <w:rPr>
          <w:rFonts w:eastAsiaTheme="minorEastAsia"/>
          <w:lang w:val="en-GB"/>
        </w:rPr>
        <w:t xml:space="preserve"> </w:t>
      </w:r>
      <w:r w:rsidRPr="00C2053C">
        <w:rPr>
          <w:rFonts w:eastAsiaTheme="minorEastAsia"/>
          <w:lang w:val="en-GB"/>
        </w:rPr>
        <w:t>UE</w:t>
      </w:r>
      <w:r w:rsidR="00FC0DB4">
        <w:rPr>
          <w:rFonts w:eastAsiaTheme="minorEastAsia"/>
          <w:lang w:val="en-GB"/>
        </w:rPr>
        <w:t xml:space="preserve">. For example, for event A4, </w:t>
      </w:r>
      <w:r w:rsidR="00AE774C">
        <w:rPr>
          <w:rFonts w:eastAsiaTheme="minorEastAsia"/>
          <w:lang w:val="en-GB"/>
        </w:rPr>
        <w:t>upon</w:t>
      </w:r>
      <w:r w:rsidR="00FC0DB4">
        <w:rPr>
          <w:rFonts w:eastAsiaTheme="minorEastAsia"/>
          <w:lang w:val="en-GB"/>
        </w:rPr>
        <w:t xml:space="preserve"> </w:t>
      </w:r>
      <w:r w:rsidR="00AE774C">
        <w:rPr>
          <w:rFonts w:eastAsiaTheme="minorEastAsia"/>
          <w:lang w:val="en-GB"/>
        </w:rPr>
        <w:t xml:space="preserve">measurement </w:t>
      </w:r>
      <w:r w:rsidR="00FC0DB4">
        <w:rPr>
          <w:rFonts w:eastAsiaTheme="minorEastAsia"/>
          <w:lang w:val="en-GB"/>
        </w:rPr>
        <w:t>reporting</w:t>
      </w:r>
      <w:r w:rsidR="00AE774C">
        <w:rPr>
          <w:rFonts w:eastAsiaTheme="minorEastAsia"/>
          <w:lang w:val="en-GB"/>
        </w:rPr>
        <w:t xml:space="preserve"> triggered by</w:t>
      </w:r>
      <w:r w:rsidR="00FC0DB4">
        <w:rPr>
          <w:rFonts w:eastAsiaTheme="minorEastAsia"/>
          <w:lang w:val="en-GB"/>
        </w:rPr>
        <w:t xml:space="preserve"> </w:t>
      </w:r>
      <w:r w:rsidR="00AE774C">
        <w:rPr>
          <w:rFonts w:eastAsiaTheme="minorEastAsia"/>
          <w:lang w:val="en-GB"/>
        </w:rPr>
        <w:t>height</w:t>
      </w:r>
      <w:r w:rsidR="00FC0DB4">
        <w:rPr>
          <w:rFonts w:eastAsiaTheme="minorEastAsia"/>
          <w:lang w:val="en-GB"/>
        </w:rPr>
        <w:t xml:space="preserve"> event</w:t>
      </w:r>
      <w:r w:rsidR="003F0516">
        <w:rPr>
          <w:rFonts w:eastAsiaTheme="minorEastAsia"/>
          <w:lang w:val="en-GB"/>
        </w:rPr>
        <w:t xml:space="preserve"> H1</w:t>
      </w:r>
      <w:r w:rsidR="00FC0DB4">
        <w:rPr>
          <w:rFonts w:eastAsiaTheme="minorEastAsia"/>
          <w:lang w:val="en-GB"/>
        </w:rPr>
        <w:t xml:space="preserve">, the triggering threshold of event A4 </w:t>
      </w:r>
      <w:r w:rsidR="00AE774C">
        <w:rPr>
          <w:rFonts w:eastAsiaTheme="minorEastAsia"/>
          <w:lang w:val="en-GB"/>
        </w:rPr>
        <w:t>can</w:t>
      </w:r>
      <w:r w:rsidR="00FC0DB4">
        <w:rPr>
          <w:rFonts w:eastAsiaTheme="minorEastAsia"/>
          <w:lang w:val="en-GB"/>
        </w:rPr>
        <w:t xml:space="preserve"> be adjusted by a</w:t>
      </w:r>
      <w:r w:rsidR="00AE774C">
        <w:rPr>
          <w:rFonts w:eastAsiaTheme="minorEastAsia"/>
          <w:lang w:val="en-GB"/>
        </w:rPr>
        <w:t xml:space="preserve">n </w:t>
      </w:r>
      <w:r w:rsidR="00FC0DB4">
        <w:rPr>
          <w:rFonts w:eastAsiaTheme="minorEastAsia"/>
          <w:lang w:val="en-GB"/>
        </w:rPr>
        <w:t>offset</w:t>
      </w:r>
      <w:r w:rsidR="00AE774C">
        <w:rPr>
          <w:rFonts w:eastAsiaTheme="minorEastAsia"/>
          <w:lang w:val="en-GB"/>
        </w:rPr>
        <w:t xml:space="preserve"> corresponding to the triggered height event. </w:t>
      </w:r>
      <w:r w:rsidR="00493093">
        <w:rPr>
          <w:rFonts w:eastAsiaTheme="minorEastAsia"/>
          <w:lang w:val="en-GB"/>
        </w:rPr>
        <w:t>In this way</w:t>
      </w:r>
      <w:r w:rsidR="00AE774C">
        <w:rPr>
          <w:rFonts w:eastAsiaTheme="minorEastAsia"/>
          <w:lang w:val="en-GB"/>
        </w:rPr>
        <w:t>,</w:t>
      </w:r>
      <w:r w:rsidR="00493093">
        <w:rPr>
          <w:rFonts w:eastAsiaTheme="minorEastAsia"/>
          <w:lang w:val="en-GB"/>
        </w:rPr>
        <w:t xml:space="preserve"> only better neighbour cells which fulfilled the adjusted triggering threshold will trigger the entering of event A4, which can improve frequent measurement report triggering due to seeing more cell at high altitude.</w:t>
      </w:r>
    </w:p>
    <w:p w14:paraId="1FB7C8F4" w14:textId="1AEFE691" w:rsidR="000A3782" w:rsidRDefault="00AD5DD2" w:rsidP="00AD5DD2">
      <w:pPr>
        <w:spacing w:before="156" w:after="156"/>
        <w:rPr>
          <w:bCs/>
        </w:rPr>
      </w:pPr>
      <w:proofErr w:type="spellStart"/>
      <w:r w:rsidRPr="001B1C2E">
        <w:rPr>
          <w:b/>
        </w:rPr>
        <w:t>NumberOfTriggeringCells</w:t>
      </w:r>
      <w:proofErr w:type="spellEnd"/>
      <w:r w:rsidR="001B1C2E" w:rsidRPr="001B1C2E">
        <w:rPr>
          <w:rFonts w:eastAsiaTheme="minorEastAsia" w:hint="eastAsia"/>
          <w:b/>
        </w:rPr>
        <w:t>:</w:t>
      </w:r>
      <w:r w:rsidR="001B1C2E">
        <w:rPr>
          <w:rFonts w:eastAsiaTheme="minorEastAsia"/>
        </w:rPr>
        <w:t xml:space="preserve"> </w:t>
      </w:r>
      <w:proofErr w:type="spellStart"/>
      <w:r w:rsidR="000F2FF2" w:rsidRPr="00C458D2">
        <w:rPr>
          <w:bCs/>
          <w:i/>
        </w:rPr>
        <w:t>numberOfTriggeringCells</w:t>
      </w:r>
      <w:proofErr w:type="spellEnd"/>
      <w:r w:rsidR="000F2FF2" w:rsidRPr="00C458D2">
        <w:rPr>
          <w:bCs/>
        </w:rPr>
        <w:t xml:space="preserve"> indicates the number of cells detected that are required to fulfill an event for a measurement report to be triggered. </w:t>
      </w:r>
      <w:r w:rsidR="003C661B">
        <w:rPr>
          <w:bCs/>
        </w:rPr>
        <w:t>Associate th</w:t>
      </w:r>
      <w:r w:rsidR="00522AF6">
        <w:rPr>
          <w:bCs/>
        </w:rPr>
        <w:t>is</w:t>
      </w:r>
      <w:r w:rsidR="003C661B">
        <w:rPr>
          <w:bCs/>
        </w:rPr>
        <w:t xml:space="preserve"> configuration to the flying altitude can achieve more flexible control of the amount of the measurement report</w:t>
      </w:r>
      <w:r w:rsidR="00F91900">
        <w:rPr>
          <w:bCs/>
        </w:rPr>
        <w:t>ing</w:t>
      </w:r>
      <w:r w:rsidR="003C661B">
        <w:rPr>
          <w:bCs/>
        </w:rPr>
        <w:t>.</w:t>
      </w:r>
      <w:r w:rsidR="00A91EAE">
        <w:rPr>
          <w:bCs/>
        </w:rPr>
        <w:t xml:space="preserve"> </w:t>
      </w:r>
    </w:p>
    <w:p w14:paraId="3579FA1A" w14:textId="77777777" w:rsidR="002F604F" w:rsidRPr="002F604F" w:rsidRDefault="0067410B" w:rsidP="002F604F">
      <w:pPr>
        <w:pStyle w:val="1st-Proposal-YJ"/>
        <w:spacing w:before="156" w:after="156"/>
      </w:pPr>
      <w:bookmarkStart w:id="32" w:name="_Toc110349714"/>
      <w:bookmarkStart w:id="33" w:name="_Toc110349727"/>
      <w:bookmarkStart w:id="34" w:name="_Toc110349739"/>
      <w:bookmarkStart w:id="35" w:name="_Toc110349747"/>
      <w:bookmarkStart w:id="36" w:name="_Toc110349755"/>
      <w:bookmarkStart w:id="37" w:name="_Toc110349763"/>
      <w:bookmarkStart w:id="38" w:name="_Toc110349771"/>
      <w:bookmarkStart w:id="39" w:name="_Toc110349784"/>
      <w:bookmarkStart w:id="40" w:name="_Toc110349792"/>
      <w:bookmarkStart w:id="41" w:name="_Toc110349817"/>
      <w:bookmarkStart w:id="42" w:name="_Toc110349825"/>
      <w:bookmarkStart w:id="43" w:name="_Toc110349715"/>
      <w:bookmarkStart w:id="44" w:name="_Toc110349728"/>
      <w:bookmarkStart w:id="45" w:name="_Toc110349740"/>
      <w:bookmarkStart w:id="46" w:name="_Toc110349748"/>
      <w:bookmarkStart w:id="47" w:name="_Toc110349756"/>
      <w:bookmarkStart w:id="48" w:name="_Toc110349764"/>
      <w:bookmarkStart w:id="49" w:name="_Toc110349772"/>
      <w:bookmarkStart w:id="50" w:name="_Toc110349785"/>
      <w:bookmarkStart w:id="51" w:name="_Toc110349793"/>
      <w:bookmarkStart w:id="52" w:name="_Toc110349818"/>
      <w:bookmarkStart w:id="53" w:name="_Toc110349826"/>
      <w:bookmarkStart w:id="54" w:name="_Toc114676725"/>
      <w:bookmarkStart w:id="55" w:name="_Toc114840118"/>
      <w:bookmarkStart w:id="56" w:name="_Toc114840130"/>
      <w:bookmarkStart w:id="57" w:name="_Toc114840142"/>
      <w:bookmarkStart w:id="58" w:name="_Toc114840337"/>
      <w:bookmarkStart w:id="59" w:name="_Toc114840348"/>
      <w:bookmarkStart w:id="60" w:name="_Toc114843952"/>
      <w:bookmarkStart w:id="61" w:name="_Toc126832488"/>
      <w:bookmarkStart w:id="62" w:name="_Toc126832550"/>
      <w:bookmarkStart w:id="63" w:name="_Toc126939731"/>
      <w:bookmarkStart w:id="64" w:name="_Toc126940818"/>
      <w:bookmarkStart w:id="65" w:name="_Toc127456270"/>
      <w:bookmarkStart w:id="66" w:name="_Toc114864247"/>
      <w:bookmarkStart w:id="67" w:name="_Toc114864258"/>
      <w:bookmarkStart w:id="68" w:name="_Toc114936556"/>
      <w:bookmarkStart w:id="69" w:name="_Toc114936567"/>
      <w:bookmarkStart w:id="70" w:name="_Toc114936578"/>
      <w:bookmarkStart w:id="71" w:name="_Toc114936589"/>
      <w:bookmarkStart w:id="72" w:name="_Toc114936600"/>
      <w:bookmarkStart w:id="73" w:name="_Toc114936611"/>
      <w:bookmarkStart w:id="74" w:name="_Toc114936622"/>
      <w:bookmarkStart w:id="75" w:name="_Toc114936633"/>
      <w:bookmarkStart w:id="76" w:name="_Toc115273355"/>
      <w:bookmarkStart w:id="77" w:name="_Toc115273367"/>
      <w:bookmarkStart w:id="78" w:name="_Toc115273379"/>
      <w:bookmarkStart w:id="79" w:name="_Toc115273448"/>
      <w:bookmarkStart w:id="80" w:name="_Toc115273460"/>
      <w:bookmarkStart w:id="81" w:name="_Toc115273472"/>
      <w:bookmarkStart w:id="82" w:name="_Toc115273484"/>
      <w:bookmarkStart w:id="83" w:name="_Toc115273496"/>
      <w:bookmarkStart w:id="84" w:name="_Toc115340579"/>
      <w:bookmarkStart w:id="85" w:name="_Toc115340591"/>
      <w:bookmarkStart w:id="86" w:name="_Toc115354612"/>
      <w:bookmarkStart w:id="87" w:name="_Toc115354624"/>
      <w:bookmarkStart w:id="88" w:name="_Toc115358465"/>
      <w:bookmarkStart w:id="89" w:name="_Toc115358477"/>
      <w:bookmarkStart w:id="90" w:name="_Toc115358489"/>
      <w:bookmarkStart w:id="91" w:name="_Toc115358501"/>
      <w:bookmarkStart w:id="92" w:name="_Toc115358537"/>
      <w:bookmarkStart w:id="93" w:name="_Toc115358549"/>
      <w:bookmarkStart w:id="94" w:name="_Toc115358620"/>
      <w:bookmarkStart w:id="95" w:name="_Toc115358632"/>
      <w:bookmarkStart w:id="96" w:name="_Toc117874964"/>
      <w:bookmarkStart w:id="97" w:name="_Toc117875149"/>
      <w:bookmarkStart w:id="98" w:name="_Toc117875164"/>
      <w:bookmarkStart w:id="99" w:name="_Toc117875179"/>
      <w:bookmarkStart w:id="100" w:name="_Toc117875194"/>
      <w:bookmarkStart w:id="101" w:name="_Toc117875209"/>
      <w:bookmarkStart w:id="102" w:name="_Toc117875224"/>
      <w:bookmarkStart w:id="103" w:name="_Toc117875239"/>
      <w:bookmarkStart w:id="104" w:name="_Toc117875254"/>
      <w:bookmarkStart w:id="105" w:name="_Toc117875269"/>
      <w:bookmarkStart w:id="106" w:name="_Toc118104520"/>
      <w:bookmarkStart w:id="107" w:name="_Toc118220605"/>
      <w:bookmarkStart w:id="108" w:name="_Toc118293744"/>
      <w:bookmarkStart w:id="109" w:name="_Toc118389051"/>
      <w:bookmarkStart w:id="110" w:name="_Toc118454158"/>
      <w:bookmarkStart w:id="111" w:name="_Toc12683071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RAN2 to </w:t>
      </w:r>
      <w:bookmarkEnd w:id="54"/>
      <w:bookmarkEnd w:id="55"/>
      <w:bookmarkEnd w:id="56"/>
      <w:bookmarkEnd w:id="57"/>
      <w:bookmarkEnd w:id="58"/>
      <w:bookmarkEnd w:id="59"/>
      <w:bookmarkEnd w:id="60"/>
      <w:r w:rsidR="009D50C4">
        <w:t>consider</w:t>
      </w:r>
      <w:r w:rsidR="002F604F">
        <w:t xml:space="preserve"> following</w:t>
      </w:r>
      <w:r w:rsidR="009D50C4">
        <w:t xml:space="preserve"> height-dependent</w:t>
      </w:r>
      <w:r w:rsidR="003834D2">
        <w:t xml:space="preserve"> </w:t>
      </w:r>
      <w:r w:rsidR="00B5583A">
        <w:t>configurations</w:t>
      </w:r>
      <w:r w:rsidR="002076BB">
        <w:t xml:space="preserve"> for</w:t>
      </w:r>
      <w:r w:rsidR="002F604F" w:rsidRPr="002F604F">
        <w:t xml:space="preserve"> </w:t>
      </w:r>
      <w:r w:rsidR="002F604F" w:rsidRPr="002076BB">
        <w:t>measurement performing</w:t>
      </w:r>
      <w:r w:rsidR="002F604F">
        <w:t xml:space="preserve"> and</w:t>
      </w:r>
      <w:r w:rsidR="002076BB">
        <w:t xml:space="preserve"> </w:t>
      </w:r>
      <w:r w:rsidR="002076BB" w:rsidRPr="002076BB">
        <w:t>measurement report triggering</w:t>
      </w:r>
      <w:r w:rsidR="002F604F">
        <w:t>:</w:t>
      </w:r>
      <w:bookmarkEnd w:id="61"/>
      <w:bookmarkEnd w:id="62"/>
      <w:bookmarkEnd w:id="63"/>
      <w:bookmarkEnd w:id="64"/>
      <w:bookmarkEnd w:id="65"/>
    </w:p>
    <w:p w14:paraId="3734C7CC" w14:textId="76867844" w:rsidR="002F604F" w:rsidRDefault="002F604F" w:rsidP="004252F9">
      <w:pPr>
        <w:pStyle w:val="1st-Proposal-YJ"/>
        <w:numPr>
          <w:ilvl w:val="0"/>
          <w:numId w:val="33"/>
        </w:numPr>
        <w:spacing w:before="156" w:after="156"/>
      </w:pPr>
      <w:bookmarkStart w:id="112" w:name="_Toc126832489"/>
      <w:bookmarkStart w:id="113" w:name="_Toc126832551"/>
      <w:bookmarkStart w:id="114" w:name="_Toc126939732"/>
      <w:bookmarkStart w:id="115" w:name="_Toc126940819"/>
      <w:bookmarkStart w:id="116" w:name="_Toc127456271"/>
      <w:r>
        <w:t>Ex</w:t>
      </w:r>
      <w:r w:rsidRPr="0020035C">
        <w:t>clude-listed</w:t>
      </w:r>
      <w:r w:rsidRPr="0020035C" w:rsidDel="0020035C">
        <w:t xml:space="preserve"> </w:t>
      </w:r>
      <w:r>
        <w:t>cells and</w:t>
      </w:r>
      <w:r w:rsidRPr="003834D2">
        <w:t xml:space="preserve"> </w:t>
      </w:r>
      <w:r w:rsidRPr="00CA545F">
        <w:rPr>
          <w:rFonts w:cstheme="minorBidi"/>
        </w:rPr>
        <w:t>allow-listed</w:t>
      </w:r>
      <w:r w:rsidRPr="001B1C2E" w:rsidDel="00D844F3">
        <w:t xml:space="preserve"> </w:t>
      </w:r>
      <w:r w:rsidRPr="001B1C2E">
        <w:t>cells</w:t>
      </w:r>
      <w:bookmarkEnd w:id="112"/>
      <w:bookmarkEnd w:id="113"/>
      <w:bookmarkEnd w:id="114"/>
      <w:bookmarkEnd w:id="115"/>
      <w:bookmarkEnd w:id="116"/>
    </w:p>
    <w:p w14:paraId="1FB45E13" w14:textId="2F83A09F" w:rsidR="002F604F" w:rsidRDefault="002076BB" w:rsidP="004252F9">
      <w:pPr>
        <w:pStyle w:val="1st-Proposal-YJ"/>
        <w:numPr>
          <w:ilvl w:val="0"/>
          <w:numId w:val="33"/>
        </w:numPr>
        <w:spacing w:before="156" w:after="156"/>
      </w:pPr>
      <w:bookmarkStart w:id="117" w:name="_Toc126832490"/>
      <w:bookmarkStart w:id="118" w:name="_Toc126832552"/>
      <w:bookmarkStart w:id="119" w:name="_Toc126939733"/>
      <w:bookmarkStart w:id="120" w:name="_Toc126940820"/>
      <w:bookmarkStart w:id="121" w:name="_Toc127456272"/>
      <w:r>
        <w:t>A3/A4/A5</w:t>
      </w:r>
      <w:r w:rsidR="002E25AC">
        <w:t xml:space="preserve"> </w:t>
      </w:r>
      <w:r w:rsidR="00FD556B">
        <w:t>triggering threshold</w:t>
      </w:r>
      <w:bookmarkEnd w:id="117"/>
      <w:bookmarkEnd w:id="118"/>
      <w:bookmarkEnd w:id="119"/>
      <w:bookmarkEnd w:id="120"/>
      <w:bookmarkEnd w:id="121"/>
      <w:r w:rsidR="004F16D7">
        <w:t xml:space="preserve"> </w:t>
      </w:r>
    </w:p>
    <w:p w14:paraId="041A5802" w14:textId="7DC01A3E" w:rsidR="002F604F" w:rsidRDefault="004F16D7" w:rsidP="004252F9">
      <w:pPr>
        <w:pStyle w:val="1st-Proposal-YJ"/>
        <w:numPr>
          <w:ilvl w:val="0"/>
          <w:numId w:val="33"/>
        </w:numPr>
        <w:spacing w:before="156" w:after="156"/>
      </w:pPr>
      <w:bookmarkStart w:id="122" w:name="_Toc126832491"/>
      <w:bookmarkStart w:id="123" w:name="_Toc126832553"/>
      <w:bookmarkStart w:id="124" w:name="_Toc126939734"/>
      <w:bookmarkStart w:id="125" w:name="_Toc126940821"/>
      <w:bookmarkStart w:id="126" w:name="_Toc127456273"/>
      <w:proofErr w:type="spellStart"/>
      <w:r w:rsidRPr="004F16D7">
        <w:t>NumberOfTriggeringCells</w:t>
      </w:r>
      <w:proofErr w:type="spellEnd"/>
      <w:r w:rsidR="00582CCF">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22"/>
      <w:bookmarkEnd w:id="123"/>
      <w:bookmarkEnd w:id="124"/>
      <w:bookmarkEnd w:id="125"/>
      <w:bookmarkEnd w:id="126"/>
    </w:p>
    <w:p w14:paraId="09634745" w14:textId="5E085935" w:rsidR="003674C6" w:rsidRDefault="0047305C" w:rsidP="0047305C">
      <w:pPr>
        <w:spacing w:before="156" w:after="156"/>
      </w:pPr>
      <w:r>
        <w:t>After receiving multiple measurement configurations from the netw</w:t>
      </w:r>
      <w:r w:rsidR="00750D4E">
        <w:t>ork</w:t>
      </w:r>
      <w:r w:rsidR="003674C6">
        <w:t>, UE</w:t>
      </w:r>
      <w:r w:rsidR="00A16EFC">
        <w:t xml:space="preserve"> may</w:t>
      </w:r>
      <w:r w:rsidR="003674C6">
        <w:t xml:space="preserve"> need to switch between different configurations due to vertical moving, so </w:t>
      </w:r>
      <w:r w:rsidR="008F0400">
        <w:t>network need to keep align with</w:t>
      </w:r>
      <w:r w:rsidR="008F0400" w:rsidRPr="008F0400">
        <w:t xml:space="preserve"> </w:t>
      </w:r>
      <w:r w:rsidR="008F0400">
        <w:t>UAV UE on</w:t>
      </w:r>
      <w:r w:rsidR="003674C6">
        <w:t xml:space="preserve"> what the actual configuration the UE</w:t>
      </w:r>
      <w:r w:rsidR="008F0400">
        <w:t xml:space="preserve"> currently</w:t>
      </w:r>
      <w:r w:rsidR="003674C6">
        <w:t xml:space="preserve"> uses.</w:t>
      </w:r>
    </w:p>
    <w:p w14:paraId="40B1D2C5" w14:textId="7AE40F95" w:rsidR="003674C6" w:rsidRDefault="003674C6" w:rsidP="003674C6">
      <w:pPr>
        <w:spacing w:before="156" w:after="156"/>
      </w:pPr>
      <w:r>
        <w:t xml:space="preserve">From our perspective, network can </w:t>
      </w:r>
      <w:r w:rsidR="000D1E9C">
        <w:t>track</w:t>
      </w:r>
      <w:r>
        <w:t xml:space="preserve"> the height of the UE roughly </w:t>
      </w:r>
      <w:r w:rsidR="000D1E9C">
        <w:t>by</w:t>
      </w:r>
      <w:r>
        <w:t xml:space="preserve"> height-dependent measurement reporting. Upon receiving the measurement report triggered by UE height, the network will know</w:t>
      </w:r>
      <w:r w:rsidR="008F0400">
        <w:t xml:space="preserve"> the altitude of the UAV UE so that</w:t>
      </w:r>
      <w:r w:rsidR="00317ADE">
        <w:t xml:space="preserve"> it </w:t>
      </w:r>
      <w:r w:rsidR="000D1E9C">
        <w:t>may</w:t>
      </w:r>
      <w:r w:rsidR="00317ADE">
        <w:t xml:space="preserve"> also</w:t>
      </w:r>
      <w:r w:rsidR="008F0400">
        <w:t xml:space="preserve"> aware of</w:t>
      </w:r>
      <w:r>
        <w:t xml:space="preserve"> </w:t>
      </w:r>
      <w:r w:rsidR="00CF0DAB">
        <w:t>the</w:t>
      </w:r>
      <w:r>
        <w:t xml:space="preserve"> configuration</w:t>
      </w:r>
      <w:r w:rsidR="008F0400">
        <w:t xml:space="preserve"> the</w:t>
      </w:r>
      <w:r>
        <w:t xml:space="preserve"> </w:t>
      </w:r>
      <w:r w:rsidR="008F0400">
        <w:t>UAV UE</w:t>
      </w:r>
      <w:r>
        <w:t xml:space="preserve"> applies. In that case, the measurement configuration switch need to occur based on the height-dependent measurement event or the threshold of the height-dependent</w:t>
      </w:r>
      <w:r w:rsidR="0006693E">
        <w:t xml:space="preserve"> measurement</w:t>
      </w:r>
      <w:r>
        <w:t xml:space="preserve"> event need to be align with the height boundary of applying the</w:t>
      </w:r>
      <w:r w:rsidR="00B14205">
        <w:t xml:space="preserve"> measurement</w:t>
      </w:r>
      <w:r>
        <w:t xml:space="preserve"> configuration switch.</w:t>
      </w:r>
    </w:p>
    <w:p w14:paraId="73FC8734" w14:textId="2229C7C7" w:rsidR="005319B3" w:rsidRDefault="003674C6" w:rsidP="00CA0CA2">
      <w:pPr>
        <w:spacing w:before="156" w:after="156"/>
      </w:pPr>
      <w:r>
        <w:lastRenderedPageBreak/>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14:paraId="30867DCD" w14:textId="45D200B9" w:rsidR="00D95949" w:rsidRPr="005319B3" w:rsidRDefault="0018366B" w:rsidP="00B86F84">
      <w:pPr>
        <w:pStyle w:val="1st-Proposal-YJ"/>
        <w:spacing w:before="156" w:after="156"/>
      </w:pPr>
      <w:bookmarkStart w:id="127" w:name="_Toc126830712"/>
      <w:bookmarkStart w:id="128" w:name="_Toc126832492"/>
      <w:bookmarkStart w:id="129" w:name="_Toc126832554"/>
      <w:bookmarkStart w:id="130" w:name="_Toc126939735"/>
      <w:bookmarkStart w:id="131" w:name="_Toc126940822"/>
      <w:bookmarkStart w:id="132" w:name="_Toc127456274"/>
      <w:r w:rsidRPr="005319B3">
        <w:rPr>
          <w:rFonts w:hint="eastAsia"/>
        </w:rPr>
        <w:t>RAN2 to discuss how to ensure that the measurement configuration used by the UAV UE is aligned between the UAV UE and the network (i.e., switch configuration based on height-dependent measurement event or inform the network upon switch).</w:t>
      </w:r>
      <w:bookmarkEnd w:id="127"/>
      <w:bookmarkEnd w:id="128"/>
      <w:bookmarkEnd w:id="129"/>
      <w:bookmarkEnd w:id="130"/>
      <w:bookmarkEnd w:id="131"/>
      <w:bookmarkEnd w:id="132"/>
    </w:p>
    <w:p w14:paraId="32C97F18" w14:textId="49B9A9B4" w:rsidR="000A3782" w:rsidRPr="00A71410" w:rsidRDefault="00682B7E" w:rsidP="00442F6D">
      <w:pPr>
        <w:pStyle w:val="2"/>
        <w:spacing w:before="156"/>
        <w:ind w:right="200"/>
        <w:rPr>
          <w:rStyle w:val="af0"/>
          <w:i w:val="0"/>
        </w:rPr>
      </w:pPr>
      <w:r>
        <w:rPr>
          <w:rStyle w:val="af0"/>
          <w:i w:val="0"/>
        </w:rPr>
        <w:t>2.3</w:t>
      </w:r>
      <w:r w:rsidR="000A3782" w:rsidRPr="00A71410">
        <w:rPr>
          <w:rStyle w:val="af0"/>
          <w:i w:val="0"/>
        </w:rPr>
        <w:t xml:space="preserve"> </w:t>
      </w:r>
      <w:proofErr w:type="spellStart"/>
      <w:r w:rsidR="00442F6D">
        <w:t>N</w:t>
      </w:r>
      <w:r w:rsidR="00C54E1B" w:rsidRPr="00F4267D">
        <w:t>umberofTriggeringCells</w:t>
      </w:r>
      <w:proofErr w:type="spellEnd"/>
      <w:r w:rsidR="00010C41">
        <w:t xml:space="preserve"> b</w:t>
      </w:r>
      <w:r w:rsidR="00C54E1B">
        <w:t>ypass</w:t>
      </w:r>
    </w:p>
    <w:p w14:paraId="74345D3C" w14:textId="39410766" w:rsidR="00EF5AAA" w:rsidRDefault="00694C28" w:rsidP="00613D25">
      <w:pPr>
        <w:spacing w:before="156" w:after="156"/>
        <w:rPr>
          <w:rStyle w:val="af0"/>
          <w:i w:val="0"/>
        </w:rPr>
      </w:pPr>
      <w:r>
        <w:rPr>
          <w:rStyle w:val="af0"/>
          <w:i w:val="0"/>
        </w:rPr>
        <w:t>If</w:t>
      </w:r>
      <w:r w:rsidR="00624A1A" w:rsidRPr="00624A1A">
        <w:rPr>
          <w:rStyle w:val="af0"/>
          <w:i w:val="0"/>
        </w:rPr>
        <w:t xml:space="preserve"> UAV</w:t>
      </w:r>
      <w:r>
        <w:rPr>
          <w:rStyle w:val="af0"/>
          <w:i w:val="0"/>
        </w:rPr>
        <w:t xml:space="preserve"> UE</w:t>
      </w:r>
      <w:r w:rsidR="00624A1A" w:rsidRPr="00624A1A">
        <w:rPr>
          <w:rStyle w:val="af0"/>
          <w:i w:val="0"/>
        </w:rPr>
        <w:t xml:space="preserve"> is configured with the parameter of the </w:t>
      </w:r>
      <w:proofErr w:type="spellStart"/>
      <w:r w:rsidR="00F4267D" w:rsidRPr="00F4267D">
        <w:rPr>
          <w:i/>
          <w:iCs/>
        </w:rPr>
        <w:t>numberofTriggeringCells</w:t>
      </w:r>
      <w:proofErr w:type="spellEnd"/>
      <w:r w:rsidR="00624A1A" w:rsidRPr="00624A1A">
        <w:rPr>
          <w:rStyle w:val="af0"/>
          <w:i w:val="0"/>
        </w:rPr>
        <w:t xml:space="preserve"> by the network, it requires N cells to fulfi</w:t>
      </w:r>
      <w:r w:rsidR="00241230">
        <w:rPr>
          <w:rStyle w:val="af0"/>
          <w:i w:val="0"/>
        </w:rPr>
        <w:t>l</w:t>
      </w:r>
      <w:r w:rsidR="00624A1A" w:rsidRPr="00624A1A">
        <w:rPr>
          <w:rStyle w:val="af0"/>
          <w:i w:val="0"/>
        </w:rPr>
        <w:t xml:space="preserve">l the </w:t>
      </w:r>
      <w:r w:rsidR="004E1D6C">
        <w:rPr>
          <w:rStyle w:val="af0"/>
          <w:i w:val="0"/>
        </w:rPr>
        <w:t>entering condition</w:t>
      </w:r>
      <w:r w:rsidR="00624A1A" w:rsidRPr="00624A1A">
        <w:rPr>
          <w:rStyle w:val="af0"/>
          <w:i w:val="0"/>
        </w:rPr>
        <w:t xml:space="preserve"> simultaneously. </w:t>
      </w:r>
      <w:r w:rsidR="003159A1">
        <w:rPr>
          <w:rStyle w:val="af0"/>
          <w:i w:val="0"/>
        </w:rPr>
        <w:t>Additionally, o</w:t>
      </w:r>
      <w:r w:rsidR="003159A1" w:rsidRPr="00624A1A">
        <w:rPr>
          <w:rStyle w:val="af0"/>
          <w:i w:val="0"/>
        </w:rPr>
        <w:t xml:space="preserve">nce the </w:t>
      </w:r>
      <w:r w:rsidR="00FE17F9">
        <w:rPr>
          <w:rStyle w:val="af0"/>
          <w:i w:val="0"/>
        </w:rPr>
        <w:t>measurement report</w:t>
      </w:r>
      <w:r w:rsidR="003159A1" w:rsidRPr="00624A1A">
        <w:rPr>
          <w:rStyle w:val="af0"/>
          <w:i w:val="0"/>
        </w:rPr>
        <w:t xml:space="preserve"> is triggered, the UE will not trigger it </w:t>
      </w:r>
      <w:r w:rsidR="00A82409">
        <w:rPr>
          <w:rStyle w:val="af0"/>
          <w:i w:val="0"/>
        </w:rPr>
        <w:t>continuously</w:t>
      </w:r>
      <w:r w:rsidR="003159A1" w:rsidRPr="00624A1A">
        <w:rPr>
          <w:rStyle w:val="af0"/>
          <w:i w:val="0"/>
        </w:rPr>
        <w:t xml:space="preserve"> unless the </w:t>
      </w:r>
      <w:r w:rsidR="00A82409">
        <w:rPr>
          <w:rStyle w:val="af0"/>
          <w:i w:val="0"/>
        </w:rPr>
        <w:t xml:space="preserve">multi-cell </w:t>
      </w:r>
      <w:r w:rsidR="003159A1" w:rsidRPr="00624A1A">
        <w:rPr>
          <w:rStyle w:val="af0"/>
          <w:i w:val="0"/>
        </w:rPr>
        <w:t>condition</w:t>
      </w:r>
      <w:r w:rsidR="00A82409">
        <w:rPr>
          <w:rStyle w:val="af0"/>
          <w:i w:val="0"/>
        </w:rPr>
        <w:t xml:space="preserve"> is fulfilled</w:t>
      </w:r>
      <w:r w:rsidR="003159A1" w:rsidRPr="00624A1A">
        <w:rPr>
          <w:rStyle w:val="af0"/>
          <w:i w:val="0"/>
        </w:rPr>
        <w:t xml:space="preserve"> again after the number of cells </w:t>
      </w:r>
      <w:r w:rsidR="007063B5">
        <w:rPr>
          <w:rStyle w:val="af0"/>
          <w:i w:val="0"/>
        </w:rPr>
        <w:t>being</w:t>
      </w:r>
      <w:r w:rsidR="003159A1" w:rsidRPr="00624A1A">
        <w:rPr>
          <w:rStyle w:val="af0"/>
          <w:i w:val="0"/>
        </w:rPr>
        <w:t xml:space="preserve"> less than the threshold.</w:t>
      </w:r>
      <w:r w:rsidR="003159A1">
        <w:rPr>
          <w:rStyle w:val="af0"/>
          <w:rFonts w:eastAsiaTheme="minorEastAsia"/>
          <w:i w:val="0"/>
        </w:rPr>
        <w:t xml:space="preserve"> </w:t>
      </w:r>
      <w:r w:rsidR="007063B5">
        <w:rPr>
          <w:rStyle w:val="af0"/>
          <w:i w:val="0"/>
        </w:rPr>
        <w:t>Therefore</w:t>
      </w:r>
      <w:r w:rsidR="00CE5208">
        <w:rPr>
          <w:rStyle w:val="af0"/>
          <w:i w:val="0"/>
        </w:rPr>
        <w:t xml:space="preserve">, </w:t>
      </w:r>
      <w:r w:rsidR="00EF5AAA">
        <w:rPr>
          <w:rStyle w:val="af0"/>
          <w:i w:val="0"/>
        </w:rPr>
        <w:t xml:space="preserve">the </w:t>
      </w:r>
      <w:r w:rsidR="00EF5AAA" w:rsidRPr="00624A1A">
        <w:rPr>
          <w:rStyle w:val="af0"/>
          <w:i w:val="0"/>
        </w:rPr>
        <w:t>measurement result</w:t>
      </w:r>
      <w:r w:rsidR="00A26858">
        <w:rPr>
          <w:rStyle w:val="af0"/>
          <w:i w:val="0"/>
        </w:rPr>
        <w:t>s</w:t>
      </w:r>
      <w:r w:rsidR="00EF5AAA">
        <w:rPr>
          <w:rStyle w:val="af0"/>
          <w:i w:val="0"/>
        </w:rPr>
        <w:t xml:space="preserve"> </w:t>
      </w:r>
      <w:r w:rsidR="003159A1">
        <w:rPr>
          <w:rStyle w:val="af0"/>
          <w:i w:val="0"/>
        </w:rPr>
        <w:t>may</w:t>
      </w:r>
      <w:r w:rsidR="00EF5AAA">
        <w:rPr>
          <w:rStyle w:val="af0"/>
          <w:i w:val="0"/>
        </w:rPr>
        <w:t xml:space="preserve"> not be delivered</w:t>
      </w:r>
      <w:r w:rsidR="003159A1">
        <w:rPr>
          <w:rStyle w:val="af0"/>
          <w:i w:val="0"/>
        </w:rPr>
        <w:t xml:space="preserve"> </w:t>
      </w:r>
      <w:r w:rsidR="007063B5">
        <w:rPr>
          <w:rStyle w:val="af0"/>
          <w:i w:val="0"/>
        </w:rPr>
        <w:t>to the network</w:t>
      </w:r>
      <w:r w:rsidR="003D5AD8">
        <w:rPr>
          <w:rStyle w:val="af0"/>
          <w:i w:val="0"/>
        </w:rPr>
        <w:t xml:space="preserve"> on time</w:t>
      </w:r>
      <w:r w:rsidR="00C22176">
        <w:rPr>
          <w:rStyle w:val="af0"/>
          <w:i w:val="0"/>
        </w:rPr>
        <w:t>.</w:t>
      </w:r>
      <w:r w:rsidR="003159A1">
        <w:rPr>
          <w:rStyle w:val="af0"/>
          <w:i w:val="0"/>
        </w:rPr>
        <w:t xml:space="preserve"> </w:t>
      </w:r>
    </w:p>
    <w:p w14:paraId="39A8DE91" w14:textId="557F83C5" w:rsidR="00F8483F" w:rsidRDefault="00F13EE8" w:rsidP="00F8483F">
      <w:pPr>
        <w:pStyle w:val="1st-ob-YJ"/>
        <w:spacing w:before="156" w:after="156"/>
        <w:rPr>
          <w:rFonts w:eastAsiaTheme="minorEastAsia"/>
        </w:rPr>
      </w:pPr>
      <w:bookmarkStart w:id="133" w:name="_Toc114676723"/>
      <w:bookmarkStart w:id="134" w:name="_Toc114840116"/>
      <w:bookmarkStart w:id="135" w:name="_Toc114840128"/>
      <w:bookmarkStart w:id="136" w:name="_Toc114840140"/>
      <w:bookmarkStart w:id="137" w:name="_Toc114840335"/>
      <w:bookmarkStart w:id="138" w:name="_Toc114840346"/>
      <w:bookmarkStart w:id="139" w:name="_Toc114843949"/>
      <w:bookmarkStart w:id="140" w:name="_Toc114864244"/>
      <w:bookmarkStart w:id="141" w:name="_Toc114864255"/>
      <w:bookmarkStart w:id="142" w:name="_Toc114936553"/>
      <w:bookmarkStart w:id="143" w:name="_Toc114936564"/>
      <w:bookmarkStart w:id="144" w:name="_Toc114936575"/>
      <w:bookmarkStart w:id="145" w:name="_Toc114936586"/>
      <w:bookmarkStart w:id="146" w:name="_Toc114936597"/>
      <w:bookmarkStart w:id="147" w:name="_Toc114936608"/>
      <w:bookmarkStart w:id="148" w:name="_Toc114936619"/>
      <w:bookmarkStart w:id="149" w:name="_Toc114936630"/>
      <w:bookmarkStart w:id="150" w:name="_Toc115273351"/>
      <w:bookmarkStart w:id="151" w:name="_Toc115273363"/>
      <w:bookmarkStart w:id="152" w:name="_Toc115273375"/>
      <w:bookmarkStart w:id="153" w:name="_Toc115273444"/>
      <w:bookmarkStart w:id="154" w:name="_Toc115273456"/>
      <w:bookmarkStart w:id="155" w:name="_Toc115273468"/>
      <w:bookmarkStart w:id="156" w:name="_Toc115273480"/>
      <w:bookmarkStart w:id="157" w:name="_Toc115273492"/>
      <w:bookmarkStart w:id="158" w:name="_Toc115340575"/>
      <w:bookmarkStart w:id="159" w:name="_Toc115340587"/>
      <w:bookmarkStart w:id="160" w:name="_Toc115354608"/>
      <w:bookmarkStart w:id="161" w:name="_Toc115354620"/>
      <w:bookmarkStart w:id="162" w:name="_Toc115358461"/>
      <w:bookmarkStart w:id="163" w:name="_Toc115358473"/>
      <w:bookmarkStart w:id="164" w:name="_Toc115358485"/>
      <w:bookmarkStart w:id="165" w:name="_Toc115358497"/>
      <w:bookmarkStart w:id="166" w:name="_Toc115358533"/>
      <w:bookmarkStart w:id="167" w:name="_Toc115358545"/>
      <w:bookmarkStart w:id="168" w:name="_Toc115358616"/>
      <w:bookmarkStart w:id="169" w:name="_Toc115358628"/>
      <w:bookmarkStart w:id="170" w:name="_Toc117874959"/>
      <w:bookmarkStart w:id="171" w:name="_Toc117875159"/>
      <w:bookmarkStart w:id="172" w:name="_Toc117875174"/>
      <w:bookmarkStart w:id="173" w:name="_Toc117875189"/>
      <w:bookmarkStart w:id="174" w:name="_Toc117875204"/>
      <w:bookmarkStart w:id="175" w:name="_Toc117875219"/>
      <w:bookmarkStart w:id="176" w:name="_Toc117875234"/>
      <w:bookmarkStart w:id="177" w:name="_Toc117875249"/>
      <w:bookmarkStart w:id="178" w:name="_Toc117875264"/>
      <w:bookmarkStart w:id="179" w:name="_Toc118104515"/>
      <w:bookmarkStart w:id="180" w:name="_Toc118220600"/>
      <w:bookmarkStart w:id="181" w:name="_Toc118293739"/>
      <w:bookmarkStart w:id="182" w:name="_Toc118454154"/>
      <w:bookmarkStart w:id="183" w:name="_Toc126830707"/>
      <w:bookmarkStart w:id="184" w:name="_Toc126832485"/>
      <w:bookmarkStart w:id="185" w:name="_Toc126832547"/>
      <w:bookmarkStart w:id="186" w:name="_Toc126939728"/>
      <w:bookmarkStart w:id="187" w:name="_Toc126940815"/>
      <w:bookmarkStart w:id="188" w:name="_Toc127456267"/>
      <w:r>
        <w:rPr>
          <w:bCs/>
        </w:rPr>
        <w:t>E</w:t>
      </w:r>
      <w:r w:rsidRPr="00F13EE8">
        <w:rPr>
          <w:bCs/>
        </w:rPr>
        <w:t xml:space="preserve">valuating </w:t>
      </w:r>
      <w:r w:rsidR="00E32847" w:rsidRPr="00B761DF">
        <w:rPr>
          <w:iCs/>
        </w:rPr>
        <w:t>multi-cell</w:t>
      </w:r>
      <w:r w:rsidR="00E32847" w:rsidRPr="00E32847">
        <w:rPr>
          <w:iCs/>
        </w:rPr>
        <w:t xml:space="preserve"> </w:t>
      </w:r>
      <w:r w:rsidR="00E32847" w:rsidRPr="00E32847">
        <w:rPr>
          <w:rFonts w:hint="eastAsia"/>
          <w:iCs/>
        </w:rPr>
        <w:t>trigger</w:t>
      </w:r>
      <w:r w:rsidR="00E32847" w:rsidRPr="00E32847">
        <w:rPr>
          <w:iCs/>
        </w:rPr>
        <w:t xml:space="preserve"> condition</w:t>
      </w:r>
      <w:r w:rsidR="002615A2" w:rsidRPr="00E32847">
        <w:rPr>
          <w:iCs/>
        </w:rPr>
        <w:t xml:space="preserve"> m</w:t>
      </w:r>
      <w:r w:rsidR="002615A2">
        <w:rPr>
          <w:rFonts w:eastAsiaTheme="minorEastAsia"/>
        </w:rPr>
        <w:t>ay lead to late measurement result</w:t>
      </w:r>
      <w:r w:rsidR="003028DE">
        <w:rPr>
          <w:rFonts w:eastAsiaTheme="minorEastAsia"/>
        </w:rPr>
        <w:t>s</w:t>
      </w:r>
      <w:r w:rsidR="002615A2">
        <w:rPr>
          <w:rFonts w:eastAsiaTheme="minorEastAsia"/>
        </w:rPr>
        <w:t xml:space="preserve"> updating</w:t>
      </w:r>
      <w:bookmarkEnd w:id="133"/>
      <w:bookmarkEnd w:id="134"/>
      <w:bookmarkEnd w:id="135"/>
      <w:bookmarkEnd w:id="136"/>
      <w:bookmarkEnd w:id="137"/>
      <w:bookmarkEnd w:id="138"/>
      <w:bookmarkEnd w:id="139"/>
      <w:r w:rsidR="00787C5C">
        <w:rPr>
          <w:rFonts w:eastAsiaTheme="minorEastAsia"/>
        </w:rPr>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0FBD679" w14:textId="661720D5" w:rsidR="00BB197E" w:rsidRDefault="00F13EE8" w:rsidP="00613D25">
      <w:pPr>
        <w:spacing w:before="156" w:after="156"/>
      </w:pPr>
      <w:r w:rsidRPr="00F13EE8">
        <w:t xml:space="preserve">To mitigate the impact of late triggering of </w:t>
      </w:r>
      <w:r w:rsidR="00C975D1">
        <w:t>measurement report</w:t>
      </w:r>
      <w:r w:rsidR="007C3716">
        <w:t>ing</w:t>
      </w:r>
      <w:r w:rsidR="00233C6E">
        <w:t xml:space="preserve"> due to e</w:t>
      </w:r>
      <w:r w:rsidR="00233C6E" w:rsidRPr="00F13EE8">
        <w:rPr>
          <w:bCs/>
        </w:rPr>
        <w:t xml:space="preserve">valuating </w:t>
      </w:r>
      <w:r w:rsidR="00233C6E" w:rsidRPr="00B761DF">
        <w:rPr>
          <w:iCs/>
        </w:rPr>
        <w:t>multi-cell</w:t>
      </w:r>
      <w:r w:rsidR="00233C6E" w:rsidRPr="00E32847">
        <w:rPr>
          <w:iCs/>
        </w:rPr>
        <w:t xml:space="preserve"> </w:t>
      </w:r>
      <w:r w:rsidR="00233C6E" w:rsidRPr="00E32847">
        <w:rPr>
          <w:rFonts w:hint="eastAsia"/>
          <w:iCs/>
        </w:rPr>
        <w:t>trigger</w:t>
      </w:r>
      <w:r w:rsidR="00233C6E" w:rsidRPr="00E32847">
        <w:rPr>
          <w:iCs/>
        </w:rPr>
        <w:t xml:space="preserve"> condition</w:t>
      </w:r>
      <w:r w:rsidR="0040387B">
        <w:t xml:space="preserve">, </w:t>
      </w:r>
      <w:r w:rsidR="00152367" w:rsidRPr="00613D25">
        <w:t>it may be helpful for UE to still trigger measurement report if the qua</w:t>
      </w:r>
      <w:r w:rsidR="00C44344">
        <w:t>lity of the cell which fulfills</w:t>
      </w:r>
      <w:r w:rsidR="00152367" w:rsidRPr="00613D25">
        <w:t xml:space="preserve"> the </w:t>
      </w:r>
      <w:r w:rsidR="00C44344">
        <w:t>entering</w:t>
      </w:r>
      <w:r w:rsidR="00152367" w:rsidRPr="00613D25">
        <w:t xml:space="preserve"> condition</w:t>
      </w:r>
      <w:r w:rsidR="00C44344">
        <w:t xml:space="preserve"> of the event</w:t>
      </w:r>
      <w:r w:rsidR="00152367" w:rsidRPr="00613D25">
        <w:t xml:space="preserve"> is much better than other cells in the </w:t>
      </w:r>
      <w:proofErr w:type="spellStart"/>
      <w:r w:rsidR="00152367" w:rsidRPr="003B0257">
        <w:rPr>
          <w:i/>
        </w:rPr>
        <w:t>cellsTriggeredList</w:t>
      </w:r>
      <w:proofErr w:type="spellEnd"/>
      <w:r w:rsidR="00CB6781">
        <w:t>.</w:t>
      </w:r>
      <w:r w:rsidR="00152367" w:rsidRPr="00613D25">
        <w:t xml:space="preserve"> </w:t>
      </w:r>
      <w:r w:rsidR="00CB6781">
        <w:t xml:space="preserve">This </w:t>
      </w:r>
      <w:r w:rsidR="007F2DF2" w:rsidRPr="00613D25">
        <w:t>guarantee</w:t>
      </w:r>
      <w:r w:rsidR="00C727AD" w:rsidRPr="00613D25">
        <w:t xml:space="preserve"> that the network can aware of </w:t>
      </w:r>
      <w:r w:rsidR="005956B6" w:rsidRPr="00613D25">
        <w:t>approaching a better cell</w:t>
      </w:r>
      <w:r w:rsidR="00C727AD" w:rsidRPr="00613D25">
        <w:t xml:space="preserve"> </w:t>
      </w:r>
      <w:r w:rsidR="005956B6" w:rsidRPr="00613D25">
        <w:t xml:space="preserve">with less delay, which may be beneficial </w:t>
      </w:r>
      <w:r w:rsidR="00A549CD" w:rsidRPr="00613D25">
        <w:t>to</w:t>
      </w:r>
      <w:r w:rsidR="005956B6" w:rsidRPr="00613D25">
        <w:t xml:space="preserve"> mobility performance.</w:t>
      </w:r>
      <w:r w:rsidR="00BB197E" w:rsidRPr="00613D25">
        <w:t xml:space="preserve"> </w:t>
      </w:r>
    </w:p>
    <w:p w14:paraId="074015BB" w14:textId="2D3E89BB" w:rsidR="007677AC" w:rsidRPr="000F41BC" w:rsidRDefault="004A437B" w:rsidP="00A57F81">
      <w:pPr>
        <w:spacing w:before="156" w:after="156"/>
        <w:jc w:val="center"/>
        <w:rPr>
          <w:b/>
        </w:rPr>
      </w:pPr>
      <w:r>
        <w:object w:dxaOrig="16921" w:dyaOrig="4620" w14:anchorId="7851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27.65pt" o:ole="">
            <v:imagedata r:id="rId8" o:title=""/>
          </v:shape>
          <o:OLEObject Type="Embed" ProgID="Visio.Drawing.15" ShapeID="_x0000_i1025" DrawAspect="Content" ObjectID="_1738069092" r:id="rId9"/>
        </w:object>
      </w:r>
    </w:p>
    <w:p w14:paraId="305DE8B9" w14:textId="5372BA89" w:rsidR="004763E6" w:rsidRPr="00725783" w:rsidRDefault="00FE22B4" w:rsidP="00613D25">
      <w:pPr>
        <w:spacing w:before="156" w:after="156"/>
        <w:rPr>
          <w:iCs/>
        </w:rPr>
      </w:pPr>
      <w:r>
        <w:rPr>
          <w:iCs/>
        </w:rPr>
        <w:t>From our point of view</w:t>
      </w:r>
      <w:r w:rsidR="0061752B" w:rsidRPr="00613D25">
        <w:rPr>
          <w:iCs/>
        </w:rPr>
        <w:t>, a</w:t>
      </w:r>
      <w:r w:rsidR="004763E6" w:rsidRPr="00613D25">
        <w:rPr>
          <w:iCs/>
        </w:rPr>
        <w:t>t least for neighbor cell quality measurement event</w:t>
      </w:r>
      <w:r w:rsidR="0061752B" w:rsidRPr="00613D25">
        <w:rPr>
          <w:iCs/>
        </w:rPr>
        <w:t xml:space="preserve"> (i.e., A3, A4, and A5)</w:t>
      </w:r>
      <w:r w:rsidR="004763E6" w:rsidRPr="00613D25">
        <w:rPr>
          <w:iCs/>
        </w:rPr>
        <w:t xml:space="preserve">, above </w:t>
      </w:r>
      <w:r w:rsidR="00623A79">
        <w:rPr>
          <w:iCs/>
        </w:rPr>
        <w:t>solution</w:t>
      </w:r>
      <w:r w:rsidR="004763E6">
        <w:rPr>
          <w:iCs/>
        </w:rPr>
        <w:t xml:space="preserve"> may be considered by RAN2 to improve the performance of </w:t>
      </w:r>
      <w:r w:rsidR="00855029">
        <w:rPr>
          <w:iCs/>
        </w:rPr>
        <w:t>multi-cell trigger</w:t>
      </w:r>
      <w:r w:rsidR="00725783" w:rsidRPr="00613D25">
        <w:t xml:space="preserve"> </w:t>
      </w:r>
      <w:r w:rsidR="004763E6" w:rsidRPr="00613D25">
        <w:t>functionality</w:t>
      </w:r>
      <w:r w:rsidR="00613D25" w:rsidRPr="00613D25">
        <w:t>.</w:t>
      </w:r>
    </w:p>
    <w:p w14:paraId="6E40B82E" w14:textId="5A3AC8B3" w:rsidR="00D72BF5" w:rsidRPr="00623A79" w:rsidRDefault="005D7C09" w:rsidP="00623A79">
      <w:pPr>
        <w:pStyle w:val="1st-Proposal-YJ"/>
        <w:spacing w:before="156" w:after="156"/>
        <w:rPr>
          <w:rStyle w:val="af0"/>
          <w:rFonts w:eastAsiaTheme="minorEastAsia"/>
          <w:i/>
          <w:iCs w:val="0"/>
          <w:lang w:val="en-GB"/>
        </w:rPr>
      </w:pPr>
      <w:bookmarkStart w:id="189" w:name="_Toc117874968"/>
      <w:bookmarkStart w:id="190" w:name="_Toc117875153"/>
      <w:bookmarkStart w:id="191" w:name="_Toc117875168"/>
      <w:bookmarkStart w:id="192" w:name="_Toc117875183"/>
      <w:bookmarkStart w:id="193" w:name="_Toc117875198"/>
      <w:bookmarkStart w:id="194" w:name="_Toc117875213"/>
      <w:bookmarkStart w:id="195" w:name="_Toc117875228"/>
      <w:bookmarkStart w:id="196" w:name="_Toc117875243"/>
      <w:bookmarkStart w:id="197" w:name="_Toc117875258"/>
      <w:bookmarkStart w:id="198" w:name="_Toc117875273"/>
      <w:bookmarkStart w:id="199" w:name="_Toc118104524"/>
      <w:bookmarkStart w:id="200" w:name="_Toc118220609"/>
      <w:bookmarkStart w:id="201" w:name="_Toc118293748"/>
      <w:bookmarkStart w:id="202" w:name="_Toc118389055"/>
      <w:bookmarkStart w:id="203" w:name="_Toc118454162"/>
      <w:bookmarkStart w:id="204" w:name="_Toc126830713"/>
      <w:bookmarkStart w:id="205" w:name="_Toc126832493"/>
      <w:bookmarkStart w:id="206" w:name="_Toc126832555"/>
      <w:bookmarkStart w:id="207" w:name="_Toc126939736"/>
      <w:bookmarkStart w:id="208" w:name="_Toc126940823"/>
      <w:bookmarkStart w:id="209" w:name="_Toc127456275"/>
      <w:bookmarkStart w:id="210" w:name="_Toc114676728"/>
      <w:bookmarkStart w:id="211" w:name="_Toc114840121"/>
      <w:bookmarkStart w:id="212" w:name="_Toc114840133"/>
      <w:bookmarkStart w:id="213" w:name="_Toc114840145"/>
      <w:r>
        <w:t>T</w:t>
      </w:r>
      <w:r w:rsidR="00D72BF5" w:rsidRPr="00924E6D">
        <w:t>rigger measurement report when a better cell enters regardless of multi-cell condition</w:t>
      </w:r>
      <w:r w:rsidR="00543F1D">
        <w:t xml:space="preserve"> is fulfilled or not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t>.</w:t>
      </w:r>
      <w:bookmarkEnd w:id="204"/>
      <w:bookmarkEnd w:id="205"/>
      <w:bookmarkEnd w:id="206"/>
      <w:bookmarkEnd w:id="207"/>
      <w:bookmarkEnd w:id="208"/>
      <w:bookmarkEnd w:id="209"/>
    </w:p>
    <w:bookmarkEnd w:id="210"/>
    <w:bookmarkEnd w:id="211"/>
    <w:bookmarkEnd w:id="212"/>
    <w:bookmarkEnd w:id="213"/>
    <w:p w14:paraId="11CEE2AD" w14:textId="0CA382EF" w:rsidR="00462410" w:rsidRPr="00AC163B" w:rsidRDefault="00682B7E" w:rsidP="009E15F6">
      <w:pPr>
        <w:pStyle w:val="2"/>
        <w:spacing w:before="156"/>
        <w:ind w:right="200"/>
        <w:rPr>
          <w:rStyle w:val="af0"/>
          <w:i w:val="0"/>
        </w:rPr>
      </w:pPr>
      <w:r>
        <w:rPr>
          <w:rStyle w:val="af0"/>
          <w:i w:val="0"/>
        </w:rPr>
        <w:t>2.4</w:t>
      </w:r>
      <w:r w:rsidR="00C75CC4" w:rsidRPr="00AC163B">
        <w:rPr>
          <w:rStyle w:val="af0"/>
          <w:i w:val="0"/>
        </w:rPr>
        <w:t xml:space="preserve"> </w:t>
      </w:r>
      <w:r w:rsidR="006F5381" w:rsidRPr="00AC163B">
        <w:rPr>
          <w:rStyle w:val="af0"/>
          <w:i w:val="0"/>
        </w:rPr>
        <w:t>H</w:t>
      </w:r>
      <w:r w:rsidR="00462410" w:rsidRPr="00AC163B">
        <w:rPr>
          <w:rStyle w:val="af0"/>
          <w:i w:val="0"/>
        </w:rPr>
        <w:t>eight triggered report</w:t>
      </w:r>
      <w:r w:rsidR="00F326BC" w:rsidRPr="00AC163B">
        <w:rPr>
          <w:rStyle w:val="af0"/>
          <w:i w:val="0"/>
        </w:rPr>
        <w:t>ing</w:t>
      </w:r>
    </w:p>
    <w:p w14:paraId="14CEC066" w14:textId="40957DB7" w:rsidR="0075334F" w:rsidRDefault="000C60CA" w:rsidP="00411DB7">
      <w:pPr>
        <w:spacing w:before="156" w:after="156"/>
      </w:pPr>
      <w:r>
        <w:t>For</w:t>
      </w:r>
      <w:r w:rsidR="00FE2479">
        <w:t xml:space="preserve"> LTE R</w:t>
      </w:r>
      <w:r w:rsidRPr="000C60CA">
        <w:t>el-15</w:t>
      </w:r>
      <w:r>
        <w:t xml:space="preserve"> aerial UEs</w:t>
      </w:r>
      <w:r w:rsidRPr="000C60CA">
        <w:t>, s</w:t>
      </w:r>
      <w:r w:rsidR="00462410" w:rsidRPr="00A95FBD">
        <w:t>ame height event H1 or H2 may be triggered again after leaving</w:t>
      </w:r>
      <w:r w:rsidR="00E21A75">
        <w:t xml:space="preserve"> the corresponding event</w:t>
      </w:r>
      <w:r w:rsidR="00462410" w:rsidRPr="00A95FBD">
        <w:t xml:space="preserve">. </w:t>
      </w:r>
      <w:r w:rsidR="00E21A75">
        <w:t>Th</w:t>
      </w:r>
      <w:r w:rsidR="009A6EA2">
        <w:t>erefore</w:t>
      </w:r>
      <w:r w:rsidR="00E21A75">
        <w:t>,</w:t>
      </w:r>
      <w:r w:rsidR="00411DB7">
        <w:t xml:space="preserve"> i</w:t>
      </w:r>
      <w:r w:rsidR="00462410">
        <w:t xml:space="preserve">f UAV UE is flying </w:t>
      </w:r>
      <w:r w:rsidR="00462410" w:rsidRPr="00627635">
        <w:t xml:space="preserve">around the configured </w:t>
      </w:r>
      <w:r w:rsidR="00462410">
        <w:t>reporting height</w:t>
      </w:r>
      <w:r w:rsidR="00462410" w:rsidRPr="00627635">
        <w:t xml:space="preserve"> threshold</w:t>
      </w:r>
      <w:r w:rsidR="00462410">
        <w:t>, measurement report will be triggered frequently</w:t>
      </w:r>
      <w:bookmarkStart w:id="214" w:name="_Toc114676722"/>
      <w:bookmarkStart w:id="215" w:name="_Toc114840115"/>
      <w:bookmarkStart w:id="216" w:name="_Toc114840127"/>
      <w:bookmarkStart w:id="217" w:name="_Toc114840139"/>
      <w:bookmarkStart w:id="218" w:name="_Toc114840334"/>
      <w:bookmarkStart w:id="219" w:name="_Toc114840345"/>
      <w:r w:rsidR="00773A91">
        <w:t>.</w:t>
      </w:r>
      <w:r w:rsidR="003902DF">
        <w:t xml:space="preserve"> </w:t>
      </w:r>
    </w:p>
    <w:p w14:paraId="4B822D36" w14:textId="49CF33A8" w:rsidR="0075334F" w:rsidRDefault="0075334F" w:rsidP="0075334F">
      <w:pPr>
        <w:pStyle w:val="1st-ob-YJ"/>
        <w:spacing w:before="156" w:after="156"/>
      </w:pPr>
      <w:bookmarkStart w:id="220" w:name="_Toc114843950"/>
      <w:bookmarkStart w:id="221" w:name="_Toc114864245"/>
      <w:bookmarkStart w:id="222" w:name="_Toc114864256"/>
      <w:bookmarkStart w:id="223" w:name="_Toc114936554"/>
      <w:bookmarkStart w:id="224" w:name="_Toc114936565"/>
      <w:bookmarkStart w:id="225" w:name="_Toc114936576"/>
      <w:bookmarkStart w:id="226" w:name="_Toc114936587"/>
      <w:bookmarkStart w:id="227" w:name="_Toc114936598"/>
      <w:bookmarkStart w:id="228" w:name="_Toc114936609"/>
      <w:bookmarkStart w:id="229" w:name="_Toc114936620"/>
      <w:bookmarkStart w:id="230" w:name="_Toc114936631"/>
      <w:bookmarkStart w:id="231" w:name="_Toc115273352"/>
      <w:bookmarkStart w:id="232" w:name="_Toc115273364"/>
      <w:bookmarkStart w:id="233" w:name="_Toc115273376"/>
      <w:bookmarkStart w:id="234" w:name="_Toc115273445"/>
      <w:bookmarkStart w:id="235" w:name="_Toc115273457"/>
      <w:bookmarkStart w:id="236" w:name="_Toc115273469"/>
      <w:bookmarkStart w:id="237" w:name="_Toc115273481"/>
      <w:bookmarkStart w:id="238" w:name="_Toc115273493"/>
      <w:bookmarkStart w:id="239" w:name="_Toc115340576"/>
      <w:bookmarkStart w:id="240" w:name="_Toc115340588"/>
      <w:bookmarkStart w:id="241" w:name="_Toc115354609"/>
      <w:bookmarkStart w:id="242" w:name="_Toc115354621"/>
      <w:bookmarkStart w:id="243" w:name="_Toc115358462"/>
      <w:bookmarkStart w:id="244" w:name="_Toc115358474"/>
      <w:bookmarkStart w:id="245" w:name="_Toc115358486"/>
      <w:bookmarkStart w:id="246" w:name="_Toc115358498"/>
      <w:bookmarkStart w:id="247" w:name="_Toc115358534"/>
      <w:bookmarkStart w:id="248" w:name="_Toc115358546"/>
      <w:bookmarkStart w:id="249" w:name="_Toc115358617"/>
      <w:bookmarkStart w:id="250" w:name="_Toc115358629"/>
      <w:bookmarkStart w:id="251" w:name="_Toc117874960"/>
      <w:bookmarkStart w:id="252" w:name="_Toc117875160"/>
      <w:bookmarkStart w:id="253" w:name="_Toc117875175"/>
      <w:bookmarkStart w:id="254" w:name="_Toc117875190"/>
      <w:bookmarkStart w:id="255" w:name="_Toc117875205"/>
      <w:bookmarkStart w:id="256" w:name="_Toc117875220"/>
      <w:bookmarkStart w:id="257" w:name="_Toc117875235"/>
      <w:bookmarkStart w:id="258" w:name="_Toc117875250"/>
      <w:bookmarkStart w:id="259" w:name="_Toc117875265"/>
      <w:bookmarkStart w:id="260" w:name="_Toc118104516"/>
      <w:bookmarkStart w:id="261" w:name="_Toc118220601"/>
      <w:bookmarkStart w:id="262" w:name="_Toc118293740"/>
      <w:bookmarkStart w:id="263" w:name="_Toc118454155"/>
      <w:bookmarkStart w:id="264" w:name="_Toc126830708"/>
      <w:bookmarkStart w:id="265" w:name="_Toc126832486"/>
      <w:bookmarkStart w:id="266" w:name="_Toc126832548"/>
      <w:bookmarkStart w:id="267" w:name="_Toc126939729"/>
      <w:bookmarkStart w:id="268" w:name="_Toc126940816"/>
      <w:bookmarkStart w:id="269" w:name="_Toc127456268"/>
      <w:r>
        <w:rPr>
          <w:rFonts w:eastAsiaTheme="minorEastAsia"/>
        </w:rPr>
        <w:t>Height</w:t>
      </w:r>
      <w:r w:rsidR="00CA3123">
        <w:rPr>
          <w:rFonts w:eastAsiaTheme="minorEastAsia"/>
        </w:rPr>
        <w:t>-</w:t>
      </w:r>
      <w:r>
        <w:rPr>
          <w:rFonts w:eastAsiaTheme="minorEastAsia"/>
        </w:rPr>
        <w:t xml:space="preserve">triggered measurement reporting </w:t>
      </w:r>
      <w:r w:rsidR="00CA3123">
        <w:rPr>
          <w:rFonts w:eastAsiaTheme="minorEastAsia"/>
        </w:rPr>
        <w:t>may</w:t>
      </w:r>
      <w:r>
        <w:rPr>
          <w:rFonts w:eastAsiaTheme="minorEastAsia"/>
        </w:rPr>
        <w:t xml:space="preserve"> also cause signaling overhead.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B9D5C15" w14:textId="671E657F" w:rsidR="00E00E32" w:rsidRDefault="00B96F7E" w:rsidP="00411DB7">
      <w:pPr>
        <w:spacing w:before="156" w:after="156"/>
      </w:pPr>
      <w:r>
        <w:t>To reduce the amount of height triggered reporting, n</w:t>
      </w:r>
      <w:r w:rsidR="00A53E52">
        <w:t xml:space="preserve">ew height event </w:t>
      </w:r>
      <w:r w:rsidR="006B2FD4">
        <w:t xml:space="preserve">reflecting </w:t>
      </w:r>
      <w:r w:rsidR="00A53E52">
        <w:t>height variation could be considered. Since the height of the UAV</w:t>
      </w:r>
      <w:r w:rsidR="00E307FE">
        <w:t xml:space="preserve"> UE</w:t>
      </w:r>
      <w:r w:rsidR="00A53E52">
        <w:t xml:space="preserve"> </w:t>
      </w:r>
      <w:r w:rsidR="005165A1">
        <w:t>can be</w:t>
      </w:r>
      <w:r w:rsidR="00A53E52">
        <w:t xml:space="preserve"> included in each measurement report, the variation of the height will be more </w:t>
      </w:r>
      <w:r w:rsidR="00496104" w:rsidRPr="00496104">
        <w:t xml:space="preserve">valuable </w:t>
      </w:r>
      <w:r w:rsidR="00692B91">
        <w:t>for network to track the altitude of the UAV</w:t>
      </w:r>
      <w:r w:rsidR="00356FD8">
        <w:t>.</w:t>
      </w:r>
      <w:r w:rsidR="00496104">
        <w:t xml:space="preserve"> </w:t>
      </w:r>
      <w:r w:rsidR="00356FD8">
        <w:t>Based on this approach,</w:t>
      </w:r>
      <w:r w:rsidR="00496104">
        <w:t xml:space="preserve"> </w:t>
      </w:r>
      <w:r w:rsidR="00692B91">
        <w:t>reporting due to enter or leave</w:t>
      </w:r>
      <w:r w:rsidR="00496104">
        <w:t xml:space="preserve"> </w:t>
      </w:r>
      <w:r w:rsidR="0064110E">
        <w:t xml:space="preserve">a </w:t>
      </w:r>
      <w:r w:rsidR="00496104">
        <w:t xml:space="preserve">same </w:t>
      </w:r>
      <w:r w:rsidR="00E92846">
        <w:t xml:space="preserve">height </w:t>
      </w:r>
      <w:r w:rsidR="00496104">
        <w:t xml:space="preserve">event </w:t>
      </w:r>
      <w:r w:rsidR="00356FD8">
        <w:t>may also be limited</w:t>
      </w:r>
      <w:r w:rsidR="00496104">
        <w:t>.</w:t>
      </w:r>
      <w:r w:rsidR="002346E3">
        <w:t xml:space="preserve"> </w:t>
      </w:r>
    </w:p>
    <w:p w14:paraId="3F7B8014" w14:textId="50B7A35B" w:rsidR="00390079" w:rsidRDefault="00CA3123" w:rsidP="00390079">
      <w:pPr>
        <w:pStyle w:val="1st-Proposal-YJ"/>
        <w:spacing w:before="156" w:after="156"/>
        <w:rPr>
          <w:rFonts w:eastAsiaTheme="minorEastAsia"/>
        </w:rPr>
      </w:pPr>
      <w:bookmarkStart w:id="270" w:name="_Toc117874970"/>
      <w:bookmarkStart w:id="271" w:name="_Toc117875155"/>
      <w:bookmarkStart w:id="272" w:name="_Toc117875170"/>
      <w:bookmarkStart w:id="273" w:name="_Toc117875185"/>
      <w:bookmarkStart w:id="274" w:name="_Toc117875200"/>
      <w:bookmarkStart w:id="275" w:name="_Toc117875215"/>
      <w:bookmarkStart w:id="276" w:name="_Toc117875230"/>
      <w:bookmarkStart w:id="277" w:name="_Toc117875245"/>
      <w:bookmarkStart w:id="278" w:name="_Toc117875260"/>
      <w:bookmarkStart w:id="279" w:name="_Toc117875275"/>
      <w:bookmarkStart w:id="280" w:name="_Toc118104526"/>
      <w:bookmarkStart w:id="281" w:name="_Toc118220611"/>
      <w:bookmarkStart w:id="282" w:name="_Toc118293750"/>
      <w:bookmarkStart w:id="283" w:name="_Toc118389057"/>
      <w:bookmarkStart w:id="284" w:name="_Toc118454164"/>
      <w:bookmarkStart w:id="285" w:name="_Toc126830714"/>
      <w:bookmarkStart w:id="286" w:name="_Toc126832494"/>
      <w:bookmarkStart w:id="287" w:name="_Toc126832556"/>
      <w:bookmarkStart w:id="288" w:name="_Toc126939737"/>
      <w:bookmarkStart w:id="289" w:name="_Toc126940824"/>
      <w:bookmarkStart w:id="290" w:name="_Toc127456276"/>
      <w:bookmarkStart w:id="291" w:name="_Toc114676726"/>
      <w:bookmarkStart w:id="292" w:name="_Toc114840119"/>
      <w:bookmarkStart w:id="293" w:name="_Toc114840131"/>
      <w:bookmarkStart w:id="294" w:name="_Toc114840143"/>
      <w:bookmarkStart w:id="295" w:name="_Toc114840338"/>
      <w:bookmarkStart w:id="296" w:name="_Toc114840349"/>
      <w:bookmarkStart w:id="297" w:name="_Toc114843955"/>
      <w:bookmarkStart w:id="298" w:name="_Toc114864250"/>
      <w:bookmarkStart w:id="299" w:name="_Toc114864261"/>
      <w:bookmarkStart w:id="300" w:name="_Toc114936559"/>
      <w:bookmarkStart w:id="301" w:name="_Toc114936570"/>
      <w:bookmarkStart w:id="302" w:name="_Toc114936581"/>
      <w:bookmarkStart w:id="303" w:name="_Toc114936592"/>
      <w:bookmarkStart w:id="304" w:name="_Toc114936603"/>
      <w:bookmarkStart w:id="305" w:name="_Toc114936614"/>
      <w:bookmarkStart w:id="306" w:name="_Toc114936625"/>
      <w:bookmarkStart w:id="307" w:name="_Toc114936636"/>
      <w:bookmarkStart w:id="308" w:name="_Toc115273358"/>
      <w:bookmarkStart w:id="309" w:name="_Toc115273370"/>
      <w:bookmarkStart w:id="310" w:name="_Toc115273382"/>
      <w:bookmarkStart w:id="311" w:name="_Toc115273451"/>
      <w:bookmarkStart w:id="312" w:name="_Toc115273463"/>
      <w:bookmarkStart w:id="313" w:name="_Toc115273475"/>
      <w:bookmarkStart w:id="314" w:name="_Toc115273487"/>
      <w:bookmarkStart w:id="315" w:name="_Toc115273499"/>
      <w:bookmarkStart w:id="316" w:name="_Toc115340582"/>
      <w:bookmarkStart w:id="317" w:name="_Toc115340594"/>
      <w:bookmarkStart w:id="318" w:name="_Toc115354615"/>
      <w:bookmarkStart w:id="319" w:name="_Toc115354627"/>
      <w:bookmarkStart w:id="320" w:name="_Toc115358468"/>
      <w:bookmarkStart w:id="321" w:name="_Toc115358480"/>
      <w:bookmarkStart w:id="322" w:name="_Toc115358492"/>
      <w:bookmarkStart w:id="323" w:name="_Toc115358504"/>
      <w:bookmarkStart w:id="324" w:name="_Toc115358540"/>
      <w:bookmarkStart w:id="325" w:name="_Toc115358552"/>
      <w:bookmarkStart w:id="326" w:name="_Toc115358623"/>
      <w:bookmarkStart w:id="327" w:name="_Toc115358635"/>
      <w:bookmarkEnd w:id="214"/>
      <w:bookmarkEnd w:id="215"/>
      <w:bookmarkEnd w:id="216"/>
      <w:bookmarkEnd w:id="217"/>
      <w:bookmarkEnd w:id="218"/>
      <w:bookmarkEnd w:id="219"/>
      <w:r w:rsidRPr="00091989">
        <w:rPr>
          <w:rFonts w:eastAsiaTheme="minorEastAsia"/>
        </w:rPr>
        <w:lastRenderedPageBreak/>
        <w:t xml:space="preserve">RAN2 </w:t>
      </w:r>
      <w:bookmarkStart w:id="328" w:name="OLE_LINK19"/>
      <w:bookmarkStart w:id="329" w:name="OLE_LINK20"/>
      <w:r w:rsidRPr="00091989">
        <w:rPr>
          <w:rFonts w:eastAsiaTheme="minorEastAsia"/>
        </w:rPr>
        <w:t>to consider</w:t>
      </w:r>
      <w:bookmarkEnd w:id="328"/>
      <w:bookmarkEnd w:id="329"/>
      <w:r w:rsidRPr="00091989">
        <w:rPr>
          <w:rFonts w:eastAsiaTheme="minorEastAsia"/>
        </w:rPr>
        <w:t xml:space="preserve"> </w:t>
      </w:r>
      <w:r w:rsidR="00091989" w:rsidRPr="00091989">
        <w:rPr>
          <w:rFonts w:eastAsiaTheme="minorEastAsia"/>
        </w:rPr>
        <w:t>new height event trigger</w:t>
      </w:r>
      <w:r w:rsidR="00091989" w:rsidRPr="0008390E">
        <w:rPr>
          <w:rFonts w:eastAsiaTheme="minorEastAsia"/>
        </w:rPr>
        <w:t xml:space="preserve">ed by </w:t>
      </w:r>
      <w:r w:rsidR="00091989">
        <w:t>height variation</w:t>
      </w:r>
      <w:r w:rsidR="00282B93">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00091989" w:rsidRPr="00091989">
        <w:rPr>
          <w:rFonts w:eastAsiaTheme="minorEastAsia"/>
        </w:rPr>
        <w:t xml:space="preserve">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4F445EF" w14:textId="77777777" w:rsidR="000A3782" w:rsidRDefault="000A3782" w:rsidP="000A3782">
      <w:pPr>
        <w:pStyle w:val="1"/>
        <w:numPr>
          <w:ilvl w:val="0"/>
          <w:numId w:val="1"/>
        </w:numPr>
        <w:spacing w:beforeLines="0" w:before="0" w:after="156"/>
        <w:rPr>
          <w:rFonts w:eastAsia="宋体"/>
          <w:sz w:val="28"/>
          <w:szCs w:val="28"/>
        </w:rPr>
      </w:pPr>
      <w:bookmarkStart w:id="330" w:name="_Toc77689036"/>
      <w:bookmarkStart w:id="331" w:name="_Toc77689047"/>
      <w:bookmarkStart w:id="332" w:name="_Toc77689058"/>
      <w:bookmarkStart w:id="333" w:name="_Toc77689069"/>
      <w:bookmarkStart w:id="334" w:name="_Toc77689080"/>
      <w:bookmarkStart w:id="335" w:name="_Toc77689091"/>
      <w:bookmarkStart w:id="336" w:name="_Toc77689102"/>
      <w:bookmarkStart w:id="337" w:name="_Toc77689113"/>
      <w:bookmarkStart w:id="338" w:name="_Toc7768912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0"/>
      <w:bookmarkEnd w:id="331"/>
      <w:bookmarkEnd w:id="332"/>
      <w:bookmarkEnd w:id="333"/>
      <w:bookmarkEnd w:id="334"/>
      <w:bookmarkEnd w:id="335"/>
      <w:bookmarkEnd w:id="336"/>
      <w:bookmarkEnd w:id="337"/>
      <w:bookmarkEnd w:id="338"/>
      <w:r w:rsidRPr="00FA58D0">
        <w:rPr>
          <w:rFonts w:eastAsia="宋体"/>
          <w:sz w:val="28"/>
          <w:szCs w:val="28"/>
        </w:rPr>
        <w:t>Conclusion</w:t>
      </w:r>
    </w:p>
    <w:p w14:paraId="663EF499" w14:textId="77777777" w:rsidR="007A3F80"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A3F80" w:rsidRPr="0070230D">
        <w:rPr>
          <w:rFonts w:eastAsia="宋体"/>
          <w:noProof/>
        </w:rPr>
        <w:t>Observation 1:</w:t>
      </w:r>
      <w:r w:rsidR="007A3F80">
        <w:rPr>
          <w:rFonts w:asciiTheme="minorHAnsi" w:eastAsiaTheme="minorEastAsia" w:hAnsiTheme="minorHAnsi" w:cstheme="minorBidi"/>
          <w:b w:val="0"/>
          <w:i w:val="0"/>
          <w:noProof/>
          <w:sz w:val="21"/>
          <w:szCs w:val="22"/>
        </w:rPr>
        <w:tab/>
      </w:r>
      <w:r w:rsidR="007A3F80" w:rsidRPr="0070230D">
        <w:rPr>
          <w:rFonts w:eastAsia="宋体"/>
          <w:noProof/>
        </w:rPr>
        <w:t>Define a new measurement event may have impacts on UE measurement behavior.</w:t>
      </w:r>
    </w:p>
    <w:p w14:paraId="183A88B9" w14:textId="77777777" w:rsidR="007A3F80" w:rsidRDefault="007A3F80">
      <w:pPr>
        <w:pStyle w:val="11"/>
        <w:rPr>
          <w:rFonts w:asciiTheme="minorHAnsi" w:eastAsiaTheme="minorEastAsia" w:hAnsiTheme="minorHAnsi" w:cstheme="minorBidi"/>
          <w:b w:val="0"/>
          <w:i w:val="0"/>
          <w:noProof/>
          <w:sz w:val="21"/>
          <w:szCs w:val="22"/>
        </w:rPr>
      </w:pPr>
      <w:r w:rsidRPr="0070230D">
        <w:rPr>
          <w:rFonts w:eastAsia="宋体"/>
          <w:noProof/>
        </w:rPr>
        <w:t>Observation 2:</w:t>
      </w:r>
      <w:r>
        <w:rPr>
          <w:rFonts w:asciiTheme="minorHAnsi" w:eastAsiaTheme="minorEastAsia" w:hAnsiTheme="minorHAnsi" w:cstheme="minorBidi"/>
          <w:b w:val="0"/>
          <w:i w:val="0"/>
          <w:noProof/>
          <w:sz w:val="21"/>
          <w:szCs w:val="22"/>
        </w:rPr>
        <w:tab/>
      </w:r>
      <w:r w:rsidRPr="0070230D">
        <w:rPr>
          <w:bCs/>
          <w:noProof/>
        </w:rPr>
        <w:t xml:space="preserve">Evaluating </w:t>
      </w:r>
      <w:r w:rsidRPr="0070230D">
        <w:rPr>
          <w:iCs/>
          <w:noProof/>
        </w:rPr>
        <w:t>multi-cell trigger condition m</w:t>
      </w:r>
      <w:r w:rsidRPr="0070230D">
        <w:rPr>
          <w:rFonts w:eastAsiaTheme="minorEastAsia"/>
          <w:noProof/>
        </w:rPr>
        <w:t>ay lead to late measurement results updating.</w:t>
      </w:r>
    </w:p>
    <w:p w14:paraId="189BCD58" w14:textId="77777777" w:rsidR="007A3F80" w:rsidRDefault="007A3F80">
      <w:pPr>
        <w:pStyle w:val="11"/>
        <w:rPr>
          <w:rFonts w:asciiTheme="minorHAnsi" w:eastAsiaTheme="minorEastAsia" w:hAnsiTheme="minorHAnsi" w:cstheme="minorBidi"/>
          <w:b w:val="0"/>
          <w:i w:val="0"/>
          <w:noProof/>
          <w:sz w:val="21"/>
          <w:szCs w:val="22"/>
        </w:rPr>
      </w:pPr>
      <w:r w:rsidRPr="0070230D">
        <w:rPr>
          <w:rFonts w:eastAsia="宋体"/>
          <w:noProof/>
        </w:rPr>
        <w:t>Observation 3:</w:t>
      </w:r>
      <w:r>
        <w:rPr>
          <w:rFonts w:asciiTheme="minorHAnsi" w:eastAsiaTheme="minorEastAsia" w:hAnsiTheme="minorHAnsi" w:cstheme="minorBidi"/>
          <w:b w:val="0"/>
          <w:i w:val="0"/>
          <w:noProof/>
          <w:sz w:val="21"/>
          <w:szCs w:val="22"/>
        </w:rPr>
        <w:tab/>
      </w:r>
      <w:r w:rsidRPr="0070230D">
        <w:rPr>
          <w:rFonts w:eastAsiaTheme="minorEastAsia"/>
          <w:noProof/>
        </w:rPr>
        <w:t>Height-triggered measurement reporting may also cause signaling overhead.</w:t>
      </w:r>
    </w:p>
    <w:p w14:paraId="77CD0536" w14:textId="77777777" w:rsidR="007A3F80" w:rsidRDefault="000A3782">
      <w:pPr>
        <w:pStyle w:val="11"/>
        <w:rPr>
          <w:noProof/>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p>
    <w:p w14:paraId="0F4DCFA6" w14:textId="77777777" w:rsidR="007A3F80" w:rsidRDefault="007A3F80">
      <w:pPr>
        <w:pStyle w:val="11"/>
        <w:rPr>
          <w:rFonts w:asciiTheme="minorHAnsi" w:eastAsiaTheme="minorEastAsia" w:hAnsiTheme="minorHAnsi" w:cstheme="minorBidi"/>
          <w:b w:val="0"/>
          <w:i w:val="0"/>
          <w:noProof/>
          <w:sz w:val="21"/>
          <w:szCs w:val="22"/>
        </w:rPr>
      </w:pPr>
      <w:r w:rsidRPr="006635EC">
        <w:rPr>
          <w:rFonts w:eastAsia="宋体"/>
          <w:noProof/>
        </w:rPr>
        <w:t>Proposal 1:</w:t>
      </w:r>
      <w:r>
        <w:rPr>
          <w:rFonts w:asciiTheme="minorHAnsi" w:eastAsiaTheme="minorEastAsia" w:hAnsiTheme="minorHAnsi" w:cstheme="minorBidi"/>
          <w:b w:val="0"/>
          <w:i w:val="0"/>
          <w:noProof/>
          <w:sz w:val="21"/>
          <w:szCs w:val="22"/>
        </w:rPr>
        <w:tab/>
      </w:r>
      <w:r w:rsidRPr="006635EC">
        <w:rPr>
          <w:rFonts w:eastAsia="宋体"/>
          <w:noProof/>
        </w:rPr>
        <w:t>Introduce a new measurement report triggering mechanism instead of a new measurement event.</w:t>
      </w:r>
    </w:p>
    <w:p w14:paraId="3723BD7D" w14:textId="77777777" w:rsidR="007A3F80" w:rsidRDefault="007A3F80">
      <w:pPr>
        <w:pStyle w:val="11"/>
        <w:rPr>
          <w:rFonts w:asciiTheme="minorHAnsi" w:eastAsiaTheme="minorEastAsia" w:hAnsiTheme="minorHAnsi" w:cstheme="minorBidi"/>
          <w:b w:val="0"/>
          <w:i w:val="0"/>
          <w:noProof/>
          <w:sz w:val="21"/>
          <w:szCs w:val="22"/>
        </w:rPr>
      </w:pPr>
      <w:r w:rsidRPr="006635EC">
        <w:rPr>
          <w:rFonts w:eastAsia="宋体"/>
          <w:noProof/>
        </w:rPr>
        <w:t>Proposal 2:</w:t>
      </w:r>
      <w:r>
        <w:rPr>
          <w:rFonts w:asciiTheme="minorHAnsi" w:eastAsiaTheme="minorEastAsia" w:hAnsiTheme="minorHAnsi" w:cstheme="minorBidi"/>
          <w:b w:val="0"/>
          <w:i w:val="0"/>
          <w:noProof/>
          <w:sz w:val="21"/>
          <w:szCs w:val="22"/>
        </w:rPr>
        <w:tab/>
      </w:r>
      <w:r>
        <w:rPr>
          <w:noProof/>
        </w:rPr>
        <w:t>RAN2 to consider following height-dependent configurations for measurement performing and measurement report triggering:</w:t>
      </w:r>
    </w:p>
    <w:p w14:paraId="7129485D" w14:textId="77777777" w:rsidR="007A3F80" w:rsidRDefault="007A3F80">
      <w:pPr>
        <w:pStyle w:val="11"/>
        <w:rPr>
          <w:rFonts w:asciiTheme="minorHAnsi" w:eastAsiaTheme="minorEastAsia" w:hAnsiTheme="minorHAnsi" w:cstheme="minorBidi"/>
          <w:b w:val="0"/>
          <w:i w:val="0"/>
          <w:noProof/>
          <w:sz w:val="21"/>
          <w:szCs w:val="22"/>
        </w:rPr>
      </w:pPr>
      <w:r w:rsidRPr="006635EC">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 xml:space="preserve">Exclude-listed cells and </w:t>
      </w:r>
      <w:r w:rsidRPr="006635EC">
        <w:rPr>
          <w:rFonts w:cstheme="minorBidi"/>
          <w:noProof/>
        </w:rPr>
        <w:t>allow-listed</w:t>
      </w:r>
      <w:r>
        <w:rPr>
          <w:noProof/>
        </w:rPr>
        <w:t xml:space="preserve"> cells</w:t>
      </w:r>
    </w:p>
    <w:p w14:paraId="57C9FD76" w14:textId="77777777" w:rsidR="007A3F80" w:rsidRDefault="007A3F80">
      <w:pPr>
        <w:pStyle w:val="11"/>
        <w:rPr>
          <w:rFonts w:asciiTheme="minorHAnsi" w:eastAsiaTheme="minorEastAsia" w:hAnsiTheme="minorHAnsi" w:cstheme="minorBidi"/>
          <w:b w:val="0"/>
          <w:i w:val="0"/>
          <w:noProof/>
          <w:sz w:val="21"/>
          <w:szCs w:val="22"/>
        </w:rPr>
      </w:pPr>
      <w:r w:rsidRPr="006635EC">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A3/A4/A5 triggering threshold</w:t>
      </w:r>
    </w:p>
    <w:p w14:paraId="7B0D846F" w14:textId="77777777" w:rsidR="007A3F80" w:rsidRDefault="007A3F80">
      <w:pPr>
        <w:pStyle w:val="11"/>
        <w:rPr>
          <w:rFonts w:asciiTheme="minorHAnsi" w:eastAsiaTheme="minorEastAsia" w:hAnsiTheme="minorHAnsi" w:cstheme="minorBidi"/>
          <w:b w:val="0"/>
          <w:i w:val="0"/>
          <w:noProof/>
          <w:sz w:val="21"/>
          <w:szCs w:val="22"/>
        </w:rPr>
      </w:pPr>
      <w:r w:rsidRPr="006635EC">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NumberOfTriggeringCells.</w:t>
      </w:r>
    </w:p>
    <w:p w14:paraId="509E9E18" w14:textId="77777777" w:rsidR="007A3F80" w:rsidRDefault="007A3F80">
      <w:pPr>
        <w:pStyle w:val="11"/>
        <w:rPr>
          <w:rFonts w:asciiTheme="minorHAnsi" w:eastAsiaTheme="minorEastAsia" w:hAnsiTheme="minorHAnsi" w:cstheme="minorBidi"/>
          <w:b w:val="0"/>
          <w:i w:val="0"/>
          <w:noProof/>
          <w:sz w:val="21"/>
          <w:szCs w:val="22"/>
        </w:rPr>
      </w:pPr>
      <w:r w:rsidRPr="006635EC">
        <w:rPr>
          <w:rFonts w:eastAsia="宋体"/>
          <w:noProof/>
        </w:rPr>
        <w:t>Proposal 3:</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 based on height-dependent measurement event or inform the network upon switch).</w:t>
      </w:r>
    </w:p>
    <w:p w14:paraId="7023DDA6" w14:textId="77777777" w:rsidR="007A3F80" w:rsidRDefault="007A3F80">
      <w:pPr>
        <w:pStyle w:val="11"/>
        <w:rPr>
          <w:rFonts w:asciiTheme="minorHAnsi" w:eastAsiaTheme="minorEastAsia" w:hAnsiTheme="minorHAnsi" w:cstheme="minorBidi"/>
          <w:b w:val="0"/>
          <w:i w:val="0"/>
          <w:noProof/>
          <w:sz w:val="21"/>
          <w:szCs w:val="22"/>
        </w:rPr>
      </w:pPr>
      <w:r w:rsidRPr="006635EC">
        <w:rPr>
          <w:rFonts w:eastAsia="宋体"/>
          <w:noProof/>
          <w:lang w:val="en-GB"/>
        </w:rPr>
        <w:t>Proposal 4:</w:t>
      </w:r>
      <w:r>
        <w:rPr>
          <w:rFonts w:asciiTheme="minorHAnsi" w:eastAsiaTheme="minorEastAsia" w:hAnsiTheme="minorHAnsi" w:cstheme="minorBidi"/>
          <w:b w:val="0"/>
          <w:i w:val="0"/>
          <w:noProof/>
          <w:sz w:val="21"/>
          <w:szCs w:val="22"/>
        </w:rPr>
        <w:tab/>
      </w:r>
      <w:r>
        <w:rPr>
          <w:noProof/>
        </w:rPr>
        <w:t>Trigger measurement report when a better cell enters regardless of multi-cell condition is fulfilled or not.</w:t>
      </w:r>
    </w:p>
    <w:p w14:paraId="2AFB2ED4" w14:textId="77777777" w:rsidR="007A3F80" w:rsidRDefault="007A3F80">
      <w:pPr>
        <w:pStyle w:val="11"/>
        <w:rPr>
          <w:rFonts w:asciiTheme="minorHAnsi" w:eastAsiaTheme="minorEastAsia" w:hAnsiTheme="minorHAnsi" w:cstheme="minorBidi"/>
          <w:b w:val="0"/>
          <w:i w:val="0"/>
          <w:noProof/>
          <w:sz w:val="21"/>
          <w:szCs w:val="22"/>
        </w:rPr>
      </w:pPr>
      <w:r w:rsidRPr="006635EC">
        <w:rPr>
          <w:rFonts w:eastAsia="宋体"/>
          <w:noProof/>
        </w:rPr>
        <w:t>Proposal 5:</w:t>
      </w:r>
      <w:r>
        <w:rPr>
          <w:rFonts w:asciiTheme="minorHAnsi" w:eastAsiaTheme="minorEastAsia" w:hAnsiTheme="minorHAnsi" w:cstheme="minorBidi"/>
          <w:b w:val="0"/>
          <w:i w:val="0"/>
          <w:noProof/>
          <w:sz w:val="21"/>
          <w:szCs w:val="22"/>
        </w:rPr>
        <w:tab/>
      </w:r>
      <w:r w:rsidRPr="006635EC">
        <w:rPr>
          <w:rFonts w:eastAsiaTheme="minorEastAsia"/>
          <w:noProof/>
        </w:rPr>
        <w:t xml:space="preserve">RAN2 to consider new height event triggered by </w:t>
      </w:r>
      <w:r>
        <w:rPr>
          <w:noProof/>
        </w:rPr>
        <w:t>height variation.</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fldChar w:fldCharType="end"/>
      </w:r>
      <w:r w:rsidR="000A3782" w:rsidRPr="00495931">
        <w:rPr>
          <w:rFonts w:eastAsia="宋体"/>
          <w:sz w:val="28"/>
          <w:szCs w:val="28"/>
        </w:rPr>
        <w:t>References</w:t>
      </w:r>
    </w:p>
    <w:p w14:paraId="7EDB9B2F" w14:textId="634C2ED5" w:rsidR="00BB3234" w:rsidRPr="00346A77" w:rsidRDefault="000A3782" w:rsidP="000A3782">
      <w:pPr>
        <w:spacing w:before="156" w:after="156"/>
        <w:rPr>
          <w:rFonts w:eastAsiaTheme="minorEastAsia" w:cs="Arial"/>
        </w:rPr>
      </w:pPr>
      <w:r w:rsidRPr="006125D4">
        <w:rPr>
          <w:bCs/>
        </w:rPr>
        <w:t xml:space="preserve">[1] </w:t>
      </w:r>
      <w:r w:rsidR="000152CF">
        <w:rPr>
          <w:rFonts w:cs="Arial"/>
        </w:rPr>
        <w:t>R2-23</w:t>
      </w:r>
      <w:r w:rsidR="000152CF" w:rsidRPr="00EA3B32">
        <w:rPr>
          <w:rFonts w:cs="Arial"/>
        </w:rPr>
        <w:t>xxxxx</w:t>
      </w:r>
      <w:r w:rsidR="000152CF" w:rsidRPr="00640388">
        <w:rPr>
          <w:rFonts w:cs="Arial"/>
        </w:rPr>
        <w:t xml:space="preserve">, </w:t>
      </w:r>
      <w:r w:rsidR="000152CF" w:rsidRPr="00305B9C">
        <w:rPr>
          <w:rFonts w:cs="Arial"/>
        </w:rPr>
        <w:t>Report of 3GPP TSG RAN WG2 meeting #120</w:t>
      </w:r>
      <w:r w:rsidR="000152CF" w:rsidRPr="00640388">
        <w:rPr>
          <w:rFonts w:cs="Arial"/>
        </w:rPr>
        <w:t xml:space="preserve">, </w:t>
      </w:r>
      <w:r w:rsidR="000152CF" w:rsidRPr="00347BC6">
        <w:rPr>
          <w:rFonts w:cs="Arial"/>
        </w:rPr>
        <w:t>ETSI MCC</w:t>
      </w:r>
      <w:r w:rsidR="000152CF" w:rsidRPr="00640388">
        <w:rPr>
          <w:rFonts w:cs="Arial"/>
        </w:rPr>
        <w:t>.</w:t>
      </w:r>
    </w:p>
    <w:sectPr w:rsidR="00BB3234" w:rsidRPr="00346A77"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EEFEF" w14:textId="77777777" w:rsidR="00CF7036" w:rsidRDefault="00CF7036" w:rsidP="008242C1">
      <w:pPr>
        <w:spacing w:before="120" w:after="120"/>
      </w:pPr>
      <w:r>
        <w:separator/>
      </w:r>
    </w:p>
    <w:p w14:paraId="00676278" w14:textId="77777777" w:rsidR="00CF7036" w:rsidRDefault="00CF7036">
      <w:pPr>
        <w:spacing w:before="120" w:after="120"/>
      </w:pPr>
    </w:p>
  </w:endnote>
  <w:endnote w:type="continuationSeparator" w:id="0">
    <w:p w14:paraId="44DA930B" w14:textId="77777777" w:rsidR="00CF7036" w:rsidRDefault="00CF7036" w:rsidP="008242C1">
      <w:pPr>
        <w:spacing w:before="120" w:after="120"/>
      </w:pPr>
      <w:r>
        <w:continuationSeparator/>
      </w:r>
    </w:p>
    <w:p w14:paraId="1047D4B0" w14:textId="77777777" w:rsidR="00CF7036" w:rsidRDefault="00CF703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F474EF" w:rsidRDefault="00F474EF">
    <w:pPr>
      <w:pStyle w:val="a7"/>
      <w:spacing w:before="120" w:after="120"/>
    </w:pPr>
  </w:p>
  <w:p w14:paraId="0539AD86" w14:textId="77777777" w:rsidR="00F474EF" w:rsidRDefault="00F474E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0AAB7A29" w:rsidR="00F474EF" w:rsidRPr="007B2F6F" w:rsidRDefault="00F474E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024E5" w:rsidRPr="00E024E5">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F474EF" w:rsidRDefault="00F474E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C772" w14:textId="77777777" w:rsidR="00CF7036" w:rsidRDefault="00CF7036" w:rsidP="008242C1">
      <w:pPr>
        <w:spacing w:before="120" w:after="120"/>
      </w:pPr>
      <w:r>
        <w:separator/>
      </w:r>
    </w:p>
    <w:p w14:paraId="7A932844" w14:textId="77777777" w:rsidR="00CF7036" w:rsidRDefault="00CF7036">
      <w:pPr>
        <w:spacing w:before="120" w:after="120"/>
      </w:pPr>
    </w:p>
  </w:footnote>
  <w:footnote w:type="continuationSeparator" w:id="0">
    <w:p w14:paraId="1EEB014D" w14:textId="77777777" w:rsidR="00CF7036" w:rsidRDefault="00CF7036" w:rsidP="008242C1">
      <w:pPr>
        <w:spacing w:before="120" w:after="120"/>
      </w:pPr>
      <w:r>
        <w:continuationSeparator/>
      </w:r>
    </w:p>
    <w:p w14:paraId="389DB606" w14:textId="77777777" w:rsidR="00CF7036" w:rsidRDefault="00CF703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F474EF" w:rsidRDefault="00F474EF">
    <w:pPr>
      <w:pStyle w:val="a5"/>
      <w:spacing w:before="120" w:after="120"/>
    </w:pPr>
  </w:p>
  <w:p w14:paraId="24060235" w14:textId="77777777" w:rsidR="00F474EF" w:rsidRDefault="00F474E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F474EF" w:rsidRPr="007B2F6F" w:rsidRDefault="00F474E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F474EF" w:rsidRDefault="00F474E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916887"/>
    <w:multiLevelType w:val="hybridMultilevel"/>
    <w:tmpl w:val="407E7DD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2B0F55"/>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AD737E"/>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6C2503"/>
    <w:multiLevelType w:val="hybridMultilevel"/>
    <w:tmpl w:val="3B2EE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665EB3"/>
    <w:multiLevelType w:val="hybridMultilevel"/>
    <w:tmpl w:val="AAC86AC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320AAE"/>
    <w:multiLevelType w:val="hybridMultilevel"/>
    <w:tmpl w:val="BA9A41F8"/>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3"/>
  </w:num>
  <w:num w:numId="3">
    <w:abstractNumId w:val="3"/>
  </w:num>
  <w:num w:numId="4">
    <w:abstractNumId w:val="5"/>
  </w:num>
  <w:num w:numId="5">
    <w:abstractNumId w:val="10"/>
  </w:num>
  <w:num w:numId="6">
    <w:abstractNumId w:val="28"/>
  </w:num>
  <w:num w:numId="7">
    <w:abstractNumId w:val="29"/>
  </w:num>
  <w:num w:numId="8">
    <w:abstractNumId w:val="27"/>
  </w:num>
  <w:num w:numId="9">
    <w:abstractNumId w:val="12"/>
  </w:num>
  <w:num w:numId="10">
    <w:abstractNumId w:val="24"/>
  </w:num>
  <w:num w:numId="11">
    <w:abstractNumId w:val="18"/>
  </w:num>
  <w:num w:numId="12">
    <w:abstractNumId w:val="2"/>
  </w:num>
  <w:num w:numId="13">
    <w:abstractNumId w:val="8"/>
  </w:num>
  <w:num w:numId="14">
    <w:abstractNumId w:val="32"/>
  </w:num>
  <w:num w:numId="15">
    <w:abstractNumId w:val="0"/>
  </w:num>
  <w:num w:numId="16">
    <w:abstractNumId w:val="31"/>
  </w:num>
  <w:num w:numId="17">
    <w:abstractNumId w:val="1"/>
  </w:num>
  <w:num w:numId="18">
    <w:abstractNumId w:val="11"/>
  </w:num>
  <w:num w:numId="19">
    <w:abstractNumId w:val="7"/>
  </w:num>
  <w:num w:numId="20">
    <w:abstractNumId w:val="16"/>
  </w:num>
  <w:num w:numId="21">
    <w:abstractNumId w:val="9"/>
  </w:num>
  <w:num w:numId="22">
    <w:abstractNumId w:val="15"/>
  </w:num>
  <w:num w:numId="23">
    <w:abstractNumId w:val="21"/>
  </w:num>
  <w:num w:numId="24">
    <w:abstractNumId w:val="14"/>
  </w:num>
  <w:num w:numId="25">
    <w:abstractNumId w:val="20"/>
  </w:num>
  <w:num w:numId="26">
    <w:abstractNumId w:val="19"/>
  </w:num>
  <w:num w:numId="27">
    <w:abstractNumId w:val="6"/>
  </w:num>
  <w:num w:numId="28">
    <w:abstractNumId w:val="22"/>
  </w:num>
  <w:num w:numId="29">
    <w:abstractNumId w:val="23"/>
  </w:num>
  <w:num w:numId="30">
    <w:abstractNumId w:val="4"/>
  </w:num>
  <w:num w:numId="31">
    <w:abstractNumId w:val="25"/>
  </w:num>
  <w:num w:numId="32">
    <w:abstractNumId w:val="26"/>
  </w:num>
  <w:num w:numId="33">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0C41"/>
    <w:rsid w:val="000110FC"/>
    <w:rsid w:val="000152CF"/>
    <w:rsid w:val="00017BA2"/>
    <w:rsid w:val="0002304C"/>
    <w:rsid w:val="00024845"/>
    <w:rsid w:val="000250B4"/>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0A7F"/>
    <w:rsid w:val="0006123A"/>
    <w:rsid w:val="00061B00"/>
    <w:rsid w:val="00062841"/>
    <w:rsid w:val="0006693E"/>
    <w:rsid w:val="00067814"/>
    <w:rsid w:val="00067D3A"/>
    <w:rsid w:val="00067F52"/>
    <w:rsid w:val="00071020"/>
    <w:rsid w:val="000723C1"/>
    <w:rsid w:val="00072962"/>
    <w:rsid w:val="0007367D"/>
    <w:rsid w:val="00073839"/>
    <w:rsid w:val="00073E50"/>
    <w:rsid w:val="00077128"/>
    <w:rsid w:val="000803B6"/>
    <w:rsid w:val="00082F43"/>
    <w:rsid w:val="0008390E"/>
    <w:rsid w:val="0009058C"/>
    <w:rsid w:val="00091989"/>
    <w:rsid w:val="00091C18"/>
    <w:rsid w:val="00091C77"/>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1E9C"/>
    <w:rsid w:val="000D2C8A"/>
    <w:rsid w:val="000D3592"/>
    <w:rsid w:val="000D3B4A"/>
    <w:rsid w:val="000D5C73"/>
    <w:rsid w:val="000D7357"/>
    <w:rsid w:val="000E0186"/>
    <w:rsid w:val="000E31AB"/>
    <w:rsid w:val="000E4061"/>
    <w:rsid w:val="000E4EEC"/>
    <w:rsid w:val="000E7788"/>
    <w:rsid w:val="000F0101"/>
    <w:rsid w:val="000F2FF2"/>
    <w:rsid w:val="000F3460"/>
    <w:rsid w:val="000F41BC"/>
    <w:rsid w:val="000F42CC"/>
    <w:rsid w:val="000F6BE5"/>
    <w:rsid w:val="000F7CE2"/>
    <w:rsid w:val="000F7DB2"/>
    <w:rsid w:val="0010232E"/>
    <w:rsid w:val="00103A82"/>
    <w:rsid w:val="001059BD"/>
    <w:rsid w:val="00105A65"/>
    <w:rsid w:val="00106D2E"/>
    <w:rsid w:val="0010706A"/>
    <w:rsid w:val="00107386"/>
    <w:rsid w:val="001076AD"/>
    <w:rsid w:val="00110245"/>
    <w:rsid w:val="0011240F"/>
    <w:rsid w:val="001138D1"/>
    <w:rsid w:val="00113CF1"/>
    <w:rsid w:val="00114721"/>
    <w:rsid w:val="00115ED9"/>
    <w:rsid w:val="00115FEE"/>
    <w:rsid w:val="00121205"/>
    <w:rsid w:val="0012179E"/>
    <w:rsid w:val="0012206D"/>
    <w:rsid w:val="00125A3A"/>
    <w:rsid w:val="00131271"/>
    <w:rsid w:val="00133673"/>
    <w:rsid w:val="00135F5A"/>
    <w:rsid w:val="00137D08"/>
    <w:rsid w:val="00143592"/>
    <w:rsid w:val="00143FA4"/>
    <w:rsid w:val="001441E3"/>
    <w:rsid w:val="00144530"/>
    <w:rsid w:val="001450F4"/>
    <w:rsid w:val="00145BC3"/>
    <w:rsid w:val="00147C31"/>
    <w:rsid w:val="00150B68"/>
    <w:rsid w:val="00152023"/>
    <w:rsid w:val="00152367"/>
    <w:rsid w:val="00153F66"/>
    <w:rsid w:val="00154399"/>
    <w:rsid w:val="00162450"/>
    <w:rsid w:val="00162838"/>
    <w:rsid w:val="0016469F"/>
    <w:rsid w:val="0016577C"/>
    <w:rsid w:val="001657E4"/>
    <w:rsid w:val="00166F33"/>
    <w:rsid w:val="0016722F"/>
    <w:rsid w:val="00170096"/>
    <w:rsid w:val="00172735"/>
    <w:rsid w:val="0017377B"/>
    <w:rsid w:val="00174133"/>
    <w:rsid w:val="00175FD8"/>
    <w:rsid w:val="0017648B"/>
    <w:rsid w:val="0017765E"/>
    <w:rsid w:val="0018366B"/>
    <w:rsid w:val="0018614D"/>
    <w:rsid w:val="00190C62"/>
    <w:rsid w:val="00191473"/>
    <w:rsid w:val="00191666"/>
    <w:rsid w:val="00192443"/>
    <w:rsid w:val="00192E69"/>
    <w:rsid w:val="00193E83"/>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2612"/>
    <w:rsid w:val="001E3BAD"/>
    <w:rsid w:val="001E51B9"/>
    <w:rsid w:val="001E5366"/>
    <w:rsid w:val="001E735C"/>
    <w:rsid w:val="001E7AC7"/>
    <w:rsid w:val="001F27A7"/>
    <w:rsid w:val="001F2D34"/>
    <w:rsid w:val="001F31AB"/>
    <w:rsid w:val="001F6575"/>
    <w:rsid w:val="001F66C1"/>
    <w:rsid w:val="001F67BF"/>
    <w:rsid w:val="001F68D2"/>
    <w:rsid w:val="0020035C"/>
    <w:rsid w:val="002019BC"/>
    <w:rsid w:val="002022AA"/>
    <w:rsid w:val="0020322E"/>
    <w:rsid w:val="00203298"/>
    <w:rsid w:val="00205557"/>
    <w:rsid w:val="002057C0"/>
    <w:rsid w:val="0020663A"/>
    <w:rsid w:val="002076BB"/>
    <w:rsid w:val="00207852"/>
    <w:rsid w:val="00207C79"/>
    <w:rsid w:val="00210EA4"/>
    <w:rsid w:val="00211D56"/>
    <w:rsid w:val="0021226B"/>
    <w:rsid w:val="002127FE"/>
    <w:rsid w:val="00212CFD"/>
    <w:rsid w:val="00215E89"/>
    <w:rsid w:val="00221E12"/>
    <w:rsid w:val="002249B0"/>
    <w:rsid w:val="0022523F"/>
    <w:rsid w:val="002263AB"/>
    <w:rsid w:val="00227241"/>
    <w:rsid w:val="002337FA"/>
    <w:rsid w:val="00233C6E"/>
    <w:rsid w:val="002346E3"/>
    <w:rsid w:val="002356DC"/>
    <w:rsid w:val="00237455"/>
    <w:rsid w:val="00241124"/>
    <w:rsid w:val="00241230"/>
    <w:rsid w:val="00245476"/>
    <w:rsid w:val="00245B2A"/>
    <w:rsid w:val="00250467"/>
    <w:rsid w:val="0025075E"/>
    <w:rsid w:val="002517B6"/>
    <w:rsid w:val="00252AB0"/>
    <w:rsid w:val="00254E64"/>
    <w:rsid w:val="00256234"/>
    <w:rsid w:val="0025651D"/>
    <w:rsid w:val="00257A0A"/>
    <w:rsid w:val="00257A4E"/>
    <w:rsid w:val="002615A2"/>
    <w:rsid w:val="002621A3"/>
    <w:rsid w:val="00263555"/>
    <w:rsid w:val="002635AE"/>
    <w:rsid w:val="00264AA6"/>
    <w:rsid w:val="002700DC"/>
    <w:rsid w:val="00270A85"/>
    <w:rsid w:val="00274D8A"/>
    <w:rsid w:val="00275A2E"/>
    <w:rsid w:val="00276353"/>
    <w:rsid w:val="002765AC"/>
    <w:rsid w:val="00282B93"/>
    <w:rsid w:val="00282FAC"/>
    <w:rsid w:val="00283E92"/>
    <w:rsid w:val="002844E1"/>
    <w:rsid w:val="002845FA"/>
    <w:rsid w:val="00284DD1"/>
    <w:rsid w:val="00291238"/>
    <w:rsid w:val="002959B8"/>
    <w:rsid w:val="002A05F4"/>
    <w:rsid w:val="002A0725"/>
    <w:rsid w:val="002A0B66"/>
    <w:rsid w:val="002A24B0"/>
    <w:rsid w:val="002A2BE2"/>
    <w:rsid w:val="002A385C"/>
    <w:rsid w:val="002A3E23"/>
    <w:rsid w:val="002A420A"/>
    <w:rsid w:val="002A4BCE"/>
    <w:rsid w:val="002A5E60"/>
    <w:rsid w:val="002A6668"/>
    <w:rsid w:val="002B10E3"/>
    <w:rsid w:val="002B1BFD"/>
    <w:rsid w:val="002B2955"/>
    <w:rsid w:val="002B3F87"/>
    <w:rsid w:val="002B43AB"/>
    <w:rsid w:val="002B4403"/>
    <w:rsid w:val="002B7483"/>
    <w:rsid w:val="002C0374"/>
    <w:rsid w:val="002C1C33"/>
    <w:rsid w:val="002D4B72"/>
    <w:rsid w:val="002D5430"/>
    <w:rsid w:val="002D60A2"/>
    <w:rsid w:val="002D67EC"/>
    <w:rsid w:val="002D7717"/>
    <w:rsid w:val="002E1476"/>
    <w:rsid w:val="002E2108"/>
    <w:rsid w:val="002E25AC"/>
    <w:rsid w:val="002E266A"/>
    <w:rsid w:val="002E2C64"/>
    <w:rsid w:val="002E3B0A"/>
    <w:rsid w:val="002E41BF"/>
    <w:rsid w:val="002E55D0"/>
    <w:rsid w:val="002E76AA"/>
    <w:rsid w:val="002F16B1"/>
    <w:rsid w:val="002F2363"/>
    <w:rsid w:val="002F2B4C"/>
    <w:rsid w:val="002F5DBC"/>
    <w:rsid w:val="002F604F"/>
    <w:rsid w:val="0030041C"/>
    <w:rsid w:val="00300A40"/>
    <w:rsid w:val="003015B1"/>
    <w:rsid w:val="003028DE"/>
    <w:rsid w:val="00302DCB"/>
    <w:rsid w:val="00306125"/>
    <w:rsid w:val="003061EB"/>
    <w:rsid w:val="00306559"/>
    <w:rsid w:val="00306BA8"/>
    <w:rsid w:val="00311BA6"/>
    <w:rsid w:val="0031212E"/>
    <w:rsid w:val="00314320"/>
    <w:rsid w:val="003159A1"/>
    <w:rsid w:val="00316810"/>
    <w:rsid w:val="00317ADE"/>
    <w:rsid w:val="00317B51"/>
    <w:rsid w:val="00320623"/>
    <w:rsid w:val="003214E1"/>
    <w:rsid w:val="00322466"/>
    <w:rsid w:val="0032438F"/>
    <w:rsid w:val="00324AE9"/>
    <w:rsid w:val="00325275"/>
    <w:rsid w:val="0033372C"/>
    <w:rsid w:val="00333884"/>
    <w:rsid w:val="00334356"/>
    <w:rsid w:val="0033549E"/>
    <w:rsid w:val="0033573D"/>
    <w:rsid w:val="0033614E"/>
    <w:rsid w:val="00336959"/>
    <w:rsid w:val="00336ED6"/>
    <w:rsid w:val="00340514"/>
    <w:rsid w:val="00340644"/>
    <w:rsid w:val="0034077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54AA"/>
    <w:rsid w:val="003674C6"/>
    <w:rsid w:val="003677EA"/>
    <w:rsid w:val="0037135F"/>
    <w:rsid w:val="003749ED"/>
    <w:rsid w:val="00375689"/>
    <w:rsid w:val="0037739C"/>
    <w:rsid w:val="0037777E"/>
    <w:rsid w:val="003778D5"/>
    <w:rsid w:val="00377D62"/>
    <w:rsid w:val="00381C42"/>
    <w:rsid w:val="00382D6A"/>
    <w:rsid w:val="003834D2"/>
    <w:rsid w:val="00390079"/>
    <w:rsid w:val="003902DF"/>
    <w:rsid w:val="00390A93"/>
    <w:rsid w:val="00393708"/>
    <w:rsid w:val="003A123D"/>
    <w:rsid w:val="003A19F3"/>
    <w:rsid w:val="003A1B43"/>
    <w:rsid w:val="003A27FD"/>
    <w:rsid w:val="003A3877"/>
    <w:rsid w:val="003A3A07"/>
    <w:rsid w:val="003A5B2D"/>
    <w:rsid w:val="003A609E"/>
    <w:rsid w:val="003A673B"/>
    <w:rsid w:val="003A6B54"/>
    <w:rsid w:val="003B0257"/>
    <w:rsid w:val="003B0384"/>
    <w:rsid w:val="003B0538"/>
    <w:rsid w:val="003B06F8"/>
    <w:rsid w:val="003B0FA5"/>
    <w:rsid w:val="003B42D3"/>
    <w:rsid w:val="003B60D9"/>
    <w:rsid w:val="003B6DB7"/>
    <w:rsid w:val="003C1F0D"/>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E6C94"/>
    <w:rsid w:val="003F0516"/>
    <w:rsid w:val="003F15AF"/>
    <w:rsid w:val="003F37E5"/>
    <w:rsid w:val="003F67A1"/>
    <w:rsid w:val="003F7305"/>
    <w:rsid w:val="0040387B"/>
    <w:rsid w:val="0040457B"/>
    <w:rsid w:val="0040499F"/>
    <w:rsid w:val="00407528"/>
    <w:rsid w:val="00411DB7"/>
    <w:rsid w:val="0041213B"/>
    <w:rsid w:val="004127A8"/>
    <w:rsid w:val="00412B9B"/>
    <w:rsid w:val="00412F37"/>
    <w:rsid w:val="00413B78"/>
    <w:rsid w:val="00413FD9"/>
    <w:rsid w:val="00414873"/>
    <w:rsid w:val="0041565F"/>
    <w:rsid w:val="00415C3D"/>
    <w:rsid w:val="0042019E"/>
    <w:rsid w:val="00421684"/>
    <w:rsid w:val="0042180A"/>
    <w:rsid w:val="00423AEC"/>
    <w:rsid w:val="00423D25"/>
    <w:rsid w:val="004244B5"/>
    <w:rsid w:val="004250C0"/>
    <w:rsid w:val="004252F9"/>
    <w:rsid w:val="00425B4F"/>
    <w:rsid w:val="004263A8"/>
    <w:rsid w:val="004307C8"/>
    <w:rsid w:val="00432B57"/>
    <w:rsid w:val="00432EF3"/>
    <w:rsid w:val="00433CF0"/>
    <w:rsid w:val="00437FB2"/>
    <w:rsid w:val="00440EFE"/>
    <w:rsid w:val="00441C65"/>
    <w:rsid w:val="00442F6D"/>
    <w:rsid w:val="00450E67"/>
    <w:rsid w:val="00451A30"/>
    <w:rsid w:val="00451F61"/>
    <w:rsid w:val="004546D9"/>
    <w:rsid w:val="004553EB"/>
    <w:rsid w:val="004560B5"/>
    <w:rsid w:val="00460416"/>
    <w:rsid w:val="00460630"/>
    <w:rsid w:val="0046094D"/>
    <w:rsid w:val="00461E46"/>
    <w:rsid w:val="00461F18"/>
    <w:rsid w:val="004621B8"/>
    <w:rsid w:val="00462410"/>
    <w:rsid w:val="004637B3"/>
    <w:rsid w:val="00464E25"/>
    <w:rsid w:val="004661B9"/>
    <w:rsid w:val="00466FAF"/>
    <w:rsid w:val="004672F7"/>
    <w:rsid w:val="00467483"/>
    <w:rsid w:val="00472485"/>
    <w:rsid w:val="0047305C"/>
    <w:rsid w:val="00473673"/>
    <w:rsid w:val="004756E8"/>
    <w:rsid w:val="0047571D"/>
    <w:rsid w:val="004763E6"/>
    <w:rsid w:val="00477E73"/>
    <w:rsid w:val="004806FA"/>
    <w:rsid w:val="00482515"/>
    <w:rsid w:val="00483AED"/>
    <w:rsid w:val="004851B2"/>
    <w:rsid w:val="00486543"/>
    <w:rsid w:val="00493066"/>
    <w:rsid w:val="00493093"/>
    <w:rsid w:val="004933BF"/>
    <w:rsid w:val="004941A1"/>
    <w:rsid w:val="00494403"/>
    <w:rsid w:val="00494807"/>
    <w:rsid w:val="00495931"/>
    <w:rsid w:val="00496104"/>
    <w:rsid w:val="0049652C"/>
    <w:rsid w:val="00496C36"/>
    <w:rsid w:val="004A0249"/>
    <w:rsid w:val="004A0CAB"/>
    <w:rsid w:val="004A1D71"/>
    <w:rsid w:val="004A3648"/>
    <w:rsid w:val="004A437B"/>
    <w:rsid w:val="004A71B6"/>
    <w:rsid w:val="004A7A0D"/>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15F3"/>
    <w:rsid w:val="004F16D7"/>
    <w:rsid w:val="004F34E7"/>
    <w:rsid w:val="00506C11"/>
    <w:rsid w:val="005074D0"/>
    <w:rsid w:val="00510288"/>
    <w:rsid w:val="005114F3"/>
    <w:rsid w:val="0051236F"/>
    <w:rsid w:val="00512AA6"/>
    <w:rsid w:val="00512B82"/>
    <w:rsid w:val="005141F6"/>
    <w:rsid w:val="005144C1"/>
    <w:rsid w:val="005165A1"/>
    <w:rsid w:val="00516E82"/>
    <w:rsid w:val="00520DD9"/>
    <w:rsid w:val="00522AF6"/>
    <w:rsid w:val="00523823"/>
    <w:rsid w:val="00523E42"/>
    <w:rsid w:val="0052476F"/>
    <w:rsid w:val="005255B5"/>
    <w:rsid w:val="005274D9"/>
    <w:rsid w:val="0053026D"/>
    <w:rsid w:val="00530FA6"/>
    <w:rsid w:val="005310A0"/>
    <w:rsid w:val="005319B3"/>
    <w:rsid w:val="00531D4D"/>
    <w:rsid w:val="00532284"/>
    <w:rsid w:val="00533B49"/>
    <w:rsid w:val="00534031"/>
    <w:rsid w:val="0053403A"/>
    <w:rsid w:val="00534440"/>
    <w:rsid w:val="00535A95"/>
    <w:rsid w:val="00535CED"/>
    <w:rsid w:val="00537F3E"/>
    <w:rsid w:val="005428AA"/>
    <w:rsid w:val="00543F1D"/>
    <w:rsid w:val="0055169F"/>
    <w:rsid w:val="00553770"/>
    <w:rsid w:val="005549B1"/>
    <w:rsid w:val="00557AD3"/>
    <w:rsid w:val="00560DDC"/>
    <w:rsid w:val="0056357F"/>
    <w:rsid w:val="0056426B"/>
    <w:rsid w:val="005669C7"/>
    <w:rsid w:val="00567198"/>
    <w:rsid w:val="00571EC4"/>
    <w:rsid w:val="00572516"/>
    <w:rsid w:val="00573469"/>
    <w:rsid w:val="00573703"/>
    <w:rsid w:val="00573F9F"/>
    <w:rsid w:val="00575B03"/>
    <w:rsid w:val="00576EAC"/>
    <w:rsid w:val="00580523"/>
    <w:rsid w:val="005813C0"/>
    <w:rsid w:val="00581E8D"/>
    <w:rsid w:val="005820BF"/>
    <w:rsid w:val="00582CCF"/>
    <w:rsid w:val="00584576"/>
    <w:rsid w:val="005855C3"/>
    <w:rsid w:val="0059230E"/>
    <w:rsid w:val="0059495B"/>
    <w:rsid w:val="00594A46"/>
    <w:rsid w:val="005956B6"/>
    <w:rsid w:val="005961D6"/>
    <w:rsid w:val="00596793"/>
    <w:rsid w:val="00596C48"/>
    <w:rsid w:val="00597C5E"/>
    <w:rsid w:val="005A07BB"/>
    <w:rsid w:val="005A5040"/>
    <w:rsid w:val="005A59F8"/>
    <w:rsid w:val="005A5CF8"/>
    <w:rsid w:val="005B0022"/>
    <w:rsid w:val="005B0AEB"/>
    <w:rsid w:val="005B17B3"/>
    <w:rsid w:val="005B2793"/>
    <w:rsid w:val="005B305D"/>
    <w:rsid w:val="005B31C3"/>
    <w:rsid w:val="005B341D"/>
    <w:rsid w:val="005C02A3"/>
    <w:rsid w:val="005C12AB"/>
    <w:rsid w:val="005C1658"/>
    <w:rsid w:val="005C3A15"/>
    <w:rsid w:val="005C3F76"/>
    <w:rsid w:val="005C41A9"/>
    <w:rsid w:val="005C474B"/>
    <w:rsid w:val="005C4A10"/>
    <w:rsid w:val="005C4B06"/>
    <w:rsid w:val="005C6588"/>
    <w:rsid w:val="005C6D32"/>
    <w:rsid w:val="005C6F0D"/>
    <w:rsid w:val="005D2ABD"/>
    <w:rsid w:val="005D7C09"/>
    <w:rsid w:val="005E1B81"/>
    <w:rsid w:val="005E1CE3"/>
    <w:rsid w:val="005E1D43"/>
    <w:rsid w:val="005E1FAF"/>
    <w:rsid w:val="005E2D89"/>
    <w:rsid w:val="005E2E38"/>
    <w:rsid w:val="005E3149"/>
    <w:rsid w:val="005E33C9"/>
    <w:rsid w:val="005E5079"/>
    <w:rsid w:val="005E5549"/>
    <w:rsid w:val="005E5B22"/>
    <w:rsid w:val="005E5C79"/>
    <w:rsid w:val="005E60F1"/>
    <w:rsid w:val="005E79E1"/>
    <w:rsid w:val="005F2DEE"/>
    <w:rsid w:val="005F58FE"/>
    <w:rsid w:val="005F62AA"/>
    <w:rsid w:val="005F6D87"/>
    <w:rsid w:val="00601AB5"/>
    <w:rsid w:val="00603B4D"/>
    <w:rsid w:val="00607260"/>
    <w:rsid w:val="00611B37"/>
    <w:rsid w:val="00613A4B"/>
    <w:rsid w:val="00613D25"/>
    <w:rsid w:val="00615AB1"/>
    <w:rsid w:val="0061752B"/>
    <w:rsid w:val="00623233"/>
    <w:rsid w:val="00623839"/>
    <w:rsid w:val="00623A74"/>
    <w:rsid w:val="00623A79"/>
    <w:rsid w:val="00624A1A"/>
    <w:rsid w:val="006250C8"/>
    <w:rsid w:val="00625250"/>
    <w:rsid w:val="00626065"/>
    <w:rsid w:val="00627331"/>
    <w:rsid w:val="00627635"/>
    <w:rsid w:val="0062785A"/>
    <w:rsid w:val="006312B7"/>
    <w:rsid w:val="006316EC"/>
    <w:rsid w:val="00633FDD"/>
    <w:rsid w:val="00640388"/>
    <w:rsid w:val="0064110E"/>
    <w:rsid w:val="00642847"/>
    <w:rsid w:val="006429B0"/>
    <w:rsid w:val="006434EE"/>
    <w:rsid w:val="00644C17"/>
    <w:rsid w:val="00645F4A"/>
    <w:rsid w:val="00647EAF"/>
    <w:rsid w:val="00650801"/>
    <w:rsid w:val="006509F6"/>
    <w:rsid w:val="00650C8F"/>
    <w:rsid w:val="0065311A"/>
    <w:rsid w:val="0065473B"/>
    <w:rsid w:val="00654A99"/>
    <w:rsid w:val="0065502A"/>
    <w:rsid w:val="006563F3"/>
    <w:rsid w:val="00657B23"/>
    <w:rsid w:val="00660881"/>
    <w:rsid w:val="00662ECF"/>
    <w:rsid w:val="00663E72"/>
    <w:rsid w:val="0066474C"/>
    <w:rsid w:val="0066523E"/>
    <w:rsid w:val="006675CF"/>
    <w:rsid w:val="00667A59"/>
    <w:rsid w:val="0067410B"/>
    <w:rsid w:val="00674532"/>
    <w:rsid w:val="00674AC3"/>
    <w:rsid w:val="00674DBC"/>
    <w:rsid w:val="006753CC"/>
    <w:rsid w:val="006755D9"/>
    <w:rsid w:val="0067577B"/>
    <w:rsid w:val="006766B6"/>
    <w:rsid w:val="006805A9"/>
    <w:rsid w:val="00681082"/>
    <w:rsid w:val="00681BBB"/>
    <w:rsid w:val="00682B7E"/>
    <w:rsid w:val="00686217"/>
    <w:rsid w:val="00686862"/>
    <w:rsid w:val="00687459"/>
    <w:rsid w:val="00690CCD"/>
    <w:rsid w:val="00692B91"/>
    <w:rsid w:val="00692DD2"/>
    <w:rsid w:val="0069425B"/>
    <w:rsid w:val="00694C28"/>
    <w:rsid w:val="00694E8E"/>
    <w:rsid w:val="00695498"/>
    <w:rsid w:val="00696D00"/>
    <w:rsid w:val="00697AEA"/>
    <w:rsid w:val="006A4419"/>
    <w:rsid w:val="006A44C5"/>
    <w:rsid w:val="006A48A6"/>
    <w:rsid w:val="006A54A7"/>
    <w:rsid w:val="006B2FD4"/>
    <w:rsid w:val="006B5E5B"/>
    <w:rsid w:val="006C1E32"/>
    <w:rsid w:val="006C36DC"/>
    <w:rsid w:val="006C371C"/>
    <w:rsid w:val="006C3C6B"/>
    <w:rsid w:val="006C422B"/>
    <w:rsid w:val="006C5858"/>
    <w:rsid w:val="006C7860"/>
    <w:rsid w:val="006D1A94"/>
    <w:rsid w:val="006D290C"/>
    <w:rsid w:val="006D4EE6"/>
    <w:rsid w:val="006D6646"/>
    <w:rsid w:val="006E0161"/>
    <w:rsid w:val="006E0381"/>
    <w:rsid w:val="006E26FA"/>
    <w:rsid w:val="006E304C"/>
    <w:rsid w:val="006E4B63"/>
    <w:rsid w:val="006E5965"/>
    <w:rsid w:val="006E5F56"/>
    <w:rsid w:val="006E5FC0"/>
    <w:rsid w:val="006E6658"/>
    <w:rsid w:val="006E69B1"/>
    <w:rsid w:val="006E75D4"/>
    <w:rsid w:val="006F072D"/>
    <w:rsid w:val="006F0AD5"/>
    <w:rsid w:val="006F0E28"/>
    <w:rsid w:val="006F38F3"/>
    <w:rsid w:val="006F5213"/>
    <w:rsid w:val="006F5381"/>
    <w:rsid w:val="006F7CFD"/>
    <w:rsid w:val="006F7D99"/>
    <w:rsid w:val="00700733"/>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628B"/>
    <w:rsid w:val="007276DE"/>
    <w:rsid w:val="007302B9"/>
    <w:rsid w:val="00731F75"/>
    <w:rsid w:val="0073396C"/>
    <w:rsid w:val="007340A8"/>
    <w:rsid w:val="00735A38"/>
    <w:rsid w:val="0073626E"/>
    <w:rsid w:val="00736D7D"/>
    <w:rsid w:val="00740037"/>
    <w:rsid w:val="00741BE6"/>
    <w:rsid w:val="00741EAA"/>
    <w:rsid w:val="00741F28"/>
    <w:rsid w:val="00743D46"/>
    <w:rsid w:val="00744639"/>
    <w:rsid w:val="00750D4E"/>
    <w:rsid w:val="0075243D"/>
    <w:rsid w:val="0075334F"/>
    <w:rsid w:val="00753530"/>
    <w:rsid w:val="00754861"/>
    <w:rsid w:val="00757A8D"/>
    <w:rsid w:val="00761DA5"/>
    <w:rsid w:val="007639A8"/>
    <w:rsid w:val="0076616F"/>
    <w:rsid w:val="007662B1"/>
    <w:rsid w:val="00766935"/>
    <w:rsid w:val="00766EEA"/>
    <w:rsid w:val="0076738A"/>
    <w:rsid w:val="007677AC"/>
    <w:rsid w:val="007718A0"/>
    <w:rsid w:val="00771E38"/>
    <w:rsid w:val="00773A91"/>
    <w:rsid w:val="00776337"/>
    <w:rsid w:val="0077677E"/>
    <w:rsid w:val="0078187B"/>
    <w:rsid w:val="00781894"/>
    <w:rsid w:val="00781C7E"/>
    <w:rsid w:val="00782EE4"/>
    <w:rsid w:val="007839BA"/>
    <w:rsid w:val="007868E1"/>
    <w:rsid w:val="00787C5C"/>
    <w:rsid w:val="00790F6D"/>
    <w:rsid w:val="00791890"/>
    <w:rsid w:val="00793522"/>
    <w:rsid w:val="00793748"/>
    <w:rsid w:val="00793962"/>
    <w:rsid w:val="00794C62"/>
    <w:rsid w:val="00794ED6"/>
    <w:rsid w:val="007A19C2"/>
    <w:rsid w:val="007A2928"/>
    <w:rsid w:val="007A3F80"/>
    <w:rsid w:val="007A4D7F"/>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2A81"/>
    <w:rsid w:val="007D303C"/>
    <w:rsid w:val="007D31E2"/>
    <w:rsid w:val="007D6102"/>
    <w:rsid w:val="007D6818"/>
    <w:rsid w:val="007E260F"/>
    <w:rsid w:val="007E31D8"/>
    <w:rsid w:val="007E3AE9"/>
    <w:rsid w:val="007E3E61"/>
    <w:rsid w:val="007E4750"/>
    <w:rsid w:val="007E54F1"/>
    <w:rsid w:val="007E5DF9"/>
    <w:rsid w:val="007E7427"/>
    <w:rsid w:val="007E7D5C"/>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5F1"/>
    <w:rsid w:val="007F662D"/>
    <w:rsid w:val="007F6A82"/>
    <w:rsid w:val="008015DC"/>
    <w:rsid w:val="00802E3F"/>
    <w:rsid w:val="008037BC"/>
    <w:rsid w:val="00803A91"/>
    <w:rsid w:val="00805220"/>
    <w:rsid w:val="00806260"/>
    <w:rsid w:val="008120A9"/>
    <w:rsid w:val="00814539"/>
    <w:rsid w:val="00815695"/>
    <w:rsid w:val="008160CD"/>
    <w:rsid w:val="008208AC"/>
    <w:rsid w:val="00822335"/>
    <w:rsid w:val="008227E3"/>
    <w:rsid w:val="00822857"/>
    <w:rsid w:val="008242C1"/>
    <w:rsid w:val="00826DD0"/>
    <w:rsid w:val="0083130F"/>
    <w:rsid w:val="00832D2D"/>
    <w:rsid w:val="00833B58"/>
    <w:rsid w:val="00834CF2"/>
    <w:rsid w:val="00835508"/>
    <w:rsid w:val="00836DA4"/>
    <w:rsid w:val="008377D9"/>
    <w:rsid w:val="008405B0"/>
    <w:rsid w:val="00841F54"/>
    <w:rsid w:val="00850E06"/>
    <w:rsid w:val="0085333F"/>
    <w:rsid w:val="00853670"/>
    <w:rsid w:val="00853ADD"/>
    <w:rsid w:val="00855029"/>
    <w:rsid w:val="00855C54"/>
    <w:rsid w:val="008574B4"/>
    <w:rsid w:val="00857962"/>
    <w:rsid w:val="00857B32"/>
    <w:rsid w:val="008612DE"/>
    <w:rsid w:val="008616A9"/>
    <w:rsid w:val="00864676"/>
    <w:rsid w:val="00866406"/>
    <w:rsid w:val="00872136"/>
    <w:rsid w:val="00872BA6"/>
    <w:rsid w:val="00874EE5"/>
    <w:rsid w:val="008774E0"/>
    <w:rsid w:val="00881F78"/>
    <w:rsid w:val="00884696"/>
    <w:rsid w:val="00886BEA"/>
    <w:rsid w:val="0089018A"/>
    <w:rsid w:val="008901BE"/>
    <w:rsid w:val="00891424"/>
    <w:rsid w:val="008917DA"/>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69F3"/>
    <w:rsid w:val="008C07CE"/>
    <w:rsid w:val="008C1CC2"/>
    <w:rsid w:val="008C2C0F"/>
    <w:rsid w:val="008C2C4B"/>
    <w:rsid w:val="008D14F2"/>
    <w:rsid w:val="008D266F"/>
    <w:rsid w:val="008D2A14"/>
    <w:rsid w:val="008D2B79"/>
    <w:rsid w:val="008D34A3"/>
    <w:rsid w:val="008D3AFD"/>
    <w:rsid w:val="008D550E"/>
    <w:rsid w:val="008D5EA0"/>
    <w:rsid w:val="008D6D4B"/>
    <w:rsid w:val="008E2580"/>
    <w:rsid w:val="008E37FB"/>
    <w:rsid w:val="008E5139"/>
    <w:rsid w:val="008E69BF"/>
    <w:rsid w:val="008E74F1"/>
    <w:rsid w:val="008F0400"/>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101F4"/>
    <w:rsid w:val="0091056F"/>
    <w:rsid w:val="009110ED"/>
    <w:rsid w:val="00911498"/>
    <w:rsid w:val="00913729"/>
    <w:rsid w:val="009144DE"/>
    <w:rsid w:val="009157BA"/>
    <w:rsid w:val="00915F1C"/>
    <w:rsid w:val="00917D5D"/>
    <w:rsid w:val="009229E0"/>
    <w:rsid w:val="00922FDA"/>
    <w:rsid w:val="00923247"/>
    <w:rsid w:val="0092394D"/>
    <w:rsid w:val="00924E6D"/>
    <w:rsid w:val="00930443"/>
    <w:rsid w:val="00931E81"/>
    <w:rsid w:val="00931FB2"/>
    <w:rsid w:val="009321CA"/>
    <w:rsid w:val="00932816"/>
    <w:rsid w:val="0093445A"/>
    <w:rsid w:val="00934DA1"/>
    <w:rsid w:val="009362B0"/>
    <w:rsid w:val="00942513"/>
    <w:rsid w:val="00943AF1"/>
    <w:rsid w:val="00943CD1"/>
    <w:rsid w:val="00944EAB"/>
    <w:rsid w:val="00952932"/>
    <w:rsid w:val="00952CBC"/>
    <w:rsid w:val="00952FA1"/>
    <w:rsid w:val="00953BD9"/>
    <w:rsid w:val="00954489"/>
    <w:rsid w:val="009546F3"/>
    <w:rsid w:val="0095542D"/>
    <w:rsid w:val="009556D3"/>
    <w:rsid w:val="009565CE"/>
    <w:rsid w:val="009573E6"/>
    <w:rsid w:val="0096373C"/>
    <w:rsid w:val="00964985"/>
    <w:rsid w:val="00964A93"/>
    <w:rsid w:val="00964F30"/>
    <w:rsid w:val="00972FA2"/>
    <w:rsid w:val="00976386"/>
    <w:rsid w:val="009766E5"/>
    <w:rsid w:val="00977455"/>
    <w:rsid w:val="009813D1"/>
    <w:rsid w:val="0098226F"/>
    <w:rsid w:val="0098241D"/>
    <w:rsid w:val="00982A89"/>
    <w:rsid w:val="009846CC"/>
    <w:rsid w:val="00985FED"/>
    <w:rsid w:val="00986145"/>
    <w:rsid w:val="0098646D"/>
    <w:rsid w:val="0098681C"/>
    <w:rsid w:val="009875B7"/>
    <w:rsid w:val="00987750"/>
    <w:rsid w:val="0098797C"/>
    <w:rsid w:val="009906CE"/>
    <w:rsid w:val="0099337F"/>
    <w:rsid w:val="00995180"/>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B5BA0"/>
    <w:rsid w:val="009C1E28"/>
    <w:rsid w:val="009C25D5"/>
    <w:rsid w:val="009C2AB5"/>
    <w:rsid w:val="009C4D5F"/>
    <w:rsid w:val="009C56AD"/>
    <w:rsid w:val="009C63BB"/>
    <w:rsid w:val="009D0C6C"/>
    <w:rsid w:val="009D4735"/>
    <w:rsid w:val="009D50C4"/>
    <w:rsid w:val="009D564B"/>
    <w:rsid w:val="009D5C58"/>
    <w:rsid w:val="009D6193"/>
    <w:rsid w:val="009E073C"/>
    <w:rsid w:val="009E15F6"/>
    <w:rsid w:val="009E2564"/>
    <w:rsid w:val="009E2A92"/>
    <w:rsid w:val="009E38B4"/>
    <w:rsid w:val="009E6658"/>
    <w:rsid w:val="009E772C"/>
    <w:rsid w:val="009F0221"/>
    <w:rsid w:val="009F17C4"/>
    <w:rsid w:val="009F59E9"/>
    <w:rsid w:val="009F6870"/>
    <w:rsid w:val="009F6AC5"/>
    <w:rsid w:val="00A01BBA"/>
    <w:rsid w:val="00A03B9E"/>
    <w:rsid w:val="00A066AC"/>
    <w:rsid w:val="00A1038D"/>
    <w:rsid w:val="00A10DE9"/>
    <w:rsid w:val="00A11D56"/>
    <w:rsid w:val="00A11E95"/>
    <w:rsid w:val="00A135EF"/>
    <w:rsid w:val="00A13D6E"/>
    <w:rsid w:val="00A146E0"/>
    <w:rsid w:val="00A16EFC"/>
    <w:rsid w:val="00A2128F"/>
    <w:rsid w:val="00A22E8B"/>
    <w:rsid w:val="00A22FDE"/>
    <w:rsid w:val="00A24723"/>
    <w:rsid w:val="00A26858"/>
    <w:rsid w:val="00A26967"/>
    <w:rsid w:val="00A3282A"/>
    <w:rsid w:val="00A33FBC"/>
    <w:rsid w:val="00A348FB"/>
    <w:rsid w:val="00A34BDA"/>
    <w:rsid w:val="00A34F4E"/>
    <w:rsid w:val="00A36F54"/>
    <w:rsid w:val="00A41C95"/>
    <w:rsid w:val="00A4256A"/>
    <w:rsid w:val="00A42787"/>
    <w:rsid w:val="00A42D17"/>
    <w:rsid w:val="00A4334A"/>
    <w:rsid w:val="00A439C4"/>
    <w:rsid w:val="00A451D6"/>
    <w:rsid w:val="00A46B27"/>
    <w:rsid w:val="00A46FFF"/>
    <w:rsid w:val="00A5083A"/>
    <w:rsid w:val="00A50871"/>
    <w:rsid w:val="00A53E52"/>
    <w:rsid w:val="00A549CD"/>
    <w:rsid w:val="00A55AE1"/>
    <w:rsid w:val="00A55FD2"/>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5C31"/>
    <w:rsid w:val="00A97ADD"/>
    <w:rsid w:val="00AA49E8"/>
    <w:rsid w:val="00AA66A0"/>
    <w:rsid w:val="00AA692D"/>
    <w:rsid w:val="00AA77DF"/>
    <w:rsid w:val="00AB0A11"/>
    <w:rsid w:val="00AB0A17"/>
    <w:rsid w:val="00AB19D6"/>
    <w:rsid w:val="00AB1EFA"/>
    <w:rsid w:val="00AB7819"/>
    <w:rsid w:val="00AB79AB"/>
    <w:rsid w:val="00AC02D7"/>
    <w:rsid w:val="00AC163B"/>
    <w:rsid w:val="00AC25AE"/>
    <w:rsid w:val="00AC2810"/>
    <w:rsid w:val="00AC35F5"/>
    <w:rsid w:val="00AC4167"/>
    <w:rsid w:val="00AC431D"/>
    <w:rsid w:val="00AC6396"/>
    <w:rsid w:val="00AC7FB5"/>
    <w:rsid w:val="00AD0B52"/>
    <w:rsid w:val="00AD17A2"/>
    <w:rsid w:val="00AD1A06"/>
    <w:rsid w:val="00AD1ACA"/>
    <w:rsid w:val="00AD1DC8"/>
    <w:rsid w:val="00AD5DD2"/>
    <w:rsid w:val="00AD63E5"/>
    <w:rsid w:val="00AD68C0"/>
    <w:rsid w:val="00AD6F35"/>
    <w:rsid w:val="00AE0D56"/>
    <w:rsid w:val="00AE1CBA"/>
    <w:rsid w:val="00AE31EC"/>
    <w:rsid w:val="00AE38C6"/>
    <w:rsid w:val="00AE3ADD"/>
    <w:rsid w:val="00AE40EB"/>
    <w:rsid w:val="00AE49E0"/>
    <w:rsid w:val="00AE4DA3"/>
    <w:rsid w:val="00AE5249"/>
    <w:rsid w:val="00AE60C6"/>
    <w:rsid w:val="00AE774C"/>
    <w:rsid w:val="00AE7A46"/>
    <w:rsid w:val="00AE7FEC"/>
    <w:rsid w:val="00AF0AD7"/>
    <w:rsid w:val="00AF0BB3"/>
    <w:rsid w:val="00AF3D1F"/>
    <w:rsid w:val="00AF615E"/>
    <w:rsid w:val="00AF6827"/>
    <w:rsid w:val="00B0006D"/>
    <w:rsid w:val="00B00FAE"/>
    <w:rsid w:val="00B0115E"/>
    <w:rsid w:val="00B02CC5"/>
    <w:rsid w:val="00B039C0"/>
    <w:rsid w:val="00B03BDB"/>
    <w:rsid w:val="00B04397"/>
    <w:rsid w:val="00B065C8"/>
    <w:rsid w:val="00B139A7"/>
    <w:rsid w:val="00B14205"/>
    <w:rsid w:val="00B14AC0"/>
    <w:rsid w:val="00B20D36"/>
    <w:rsid w:val="00B212CD"/>
    <w:rsid w:val="00B21DEC"/>
    <w:rsid w:val="00B2300F"/>
    <w:rsid w:val="00B23553"/>
    <w:rsid w:val="00B23A64"/>
    <w:rsid w:val="00B23DB1"/>
    <w:rsid w:val="00B24B58"/>
    <w:rsid w:val="00B3141C"/>
    <w:rsid w:val="00B37E49"/>
    <w:rsid w:val="00B43954"/>
    <w:rsid w:val="00B45827"/>
    <w:rsid w:val="00B458F1"/>
    <w:rsid w:val="00B4733F"/>
    <w:rsid w:val="00B501D6"/>
    <w:rsid w:val="00B516EB"/>
    <w:rsid w:val="00B51DA9"/>
    <w:rsid w:val="00B53F1B"/>
    <w:rsid w:val="00B54E41"/>
    <w:rsid w:val="00B5583A"/>
    <w:rsid w:val="00B55A6C"/>
    <w:rsid w:val="00B57D1D"/>
    <w:rsid w:val="00B60A35"/>
    <w:rsid w:val="00B6563B"/>
    <w:rsid w:val="00B65E8E"/>
    <w:rsid w:val="00B66B81"/>
    <w:rsid w:val="00B66C81"/>
    <w:rsid w:val="00B70598"/>
    <w:rsid w:val="00B7063E"/>
    <w:rsid w:val="00B70C4D"/>
    <w:rsid w:val="00B7194A"/>
    <w:rsid w:val="00B71A35"/>
    <w:rsid w:val="00B71AC6"/>
    <w:rsid w:val="00B7293A"/>
    <w:rsid w:val="00B73C29"/>
    <w:rsid w:val="00B73FC0"/>
    <w:rsid w:val="00B7594A"/>
    <w:rsid w:val="00B761DF"/>
    <w:rsid w:val="00B801DB"/>
    <w:rsid w:val="00B80ABA"/>
    <w:rsid w:val="00B81315"/>
    <w:rsid w:val="00B81E43"/>
    <w:rsid w:val="00B82665"/>
    <w:rsid w:val="00B8343E"/>
    <w:rsid w:val="00B83AB0"/>
    <w:rsid w:val="00B84463"/>
    <w:rsid w:val="00B848A6"/>
    <w:rsid w:val="00B84A5C"/>
    <w:rsid w:val="00B86F84"/>
    <w:rsid w:val="00B87992"/>
    <w:rsid w:val="00B91DFA"/>
    <w:rsid w:val="00B9591B"/>
    <w:rsid w:val="00B96B5E"/>
    <w:rsid w:val="00B96F7E"/>
    <w:rsid w:val="00BA0475"/>
    <w:rsid w:val="00BA0F9E"/>
    <w:rsid w:val="00BA18EF"/>
    <w:rsid w:val="00BA75F2"/>
    <w:rsid w:val="00BB197E"/>
    <w:rsid w:val="00BB1BE8"/>
    <w:rsid w:val="00BB3234"/>
    <w:rsid w:val="00BB5C1C"/>
    <w:rsid w:val="00BB6273"/>
    <w:rsid w:val="00BB7145"/>
    <w:rsid w:val="00BC1B1F"/>
    <w:rsid w:val="00BC2009"/>
    <w:rsid w:val="00BC246F"/>
    <w:rsid w:val="00BC4BCC"/>
    <w:rsid w:val="00BC4DB9"/>
    <w:rsid w:val="00BD0442"/>
    <w:rsid w:val="00BD0ED6"/>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E7EB4"/>
    <w:rsid w:val="00BF1857"/>
    <w:rsid w:val="00BF209A"/>
    <w:rsid w:val="00BF217A"/>
    <w:rsid w:val="00BF2896"/>
    <w:rsid w:val="00BF466F"/>
    <w:rsid w:val="00C001AD"/>
    <w:rsid w:val="00C02C4E"/>
    <w:rsid w:val="00C02D19"/>
    <w:rsid w:val="00C0421B"/>
    <w:rsid w:val="00C05891"/>
    <w:rsid w:val="00C11785"/>
    <w:rsid w:val="00C13A27"/>
    <w:rsid w:val="00C157DF"/>
    <w:rsid w:val="00C15A0B"/>
    <w:rsid w:val="00C1754E"/>
    <w:rsid w:val="00C217AD"/>
    <w:rsid w:val="00C22176"/>
    <w:rsid w:val="00C2269E"/>
    <w:rsid w:val="00C24EEF"/>
    <w:rsid w:val="00C26C33"/>
    <w:rsid w:val="00C26C8E"/>
    <w:rsid w:val="00C27CDC"/>
    <w:rsid w:val="00C307DA"/>
    <w:rsid w:val="00C30F8D"/>
    <w:rsid w:val="00C344E5"/>
    <w:rsid w:val="00C3460A"/>
    <w:rsid w:val="00C35EC7"/>
    <w:rsid w:val="00C37588"/>
    <w:rsid w:val="00C42868"/>
    <w:rsid w:val="00C4353C"/>
    <w:rsid w:val="00C43DA2"/>
    <w:rsid w:val="00C44344"/>
    <w:rsid w:val="00C44B95"/>
    <w:rsid w:val="00C4661E"/>
    <w:rsid w:val="00C50E77"/>
    <w:rsid w:val="00C5191C"/>
    <w:rsid w:val="00C52438"/>
    <w:rsid w:val="00C54E1B"/>
    <w:rsid w:val="00C55F5F"/>
    <w:rsid w:val="00C603A0"/>
    <w:rsid w:val="00C64263"/>
    <w:rsid w:val="00C649E8"/>
    <w:rsid w:val="00C727AD"/>
    <w:rsid w:val="00C72841"/>
    <w:rsid w:val="00C728CE"/>
    <w:rsid w:val="00C74519"/>
    <w:rsid w:val="00C75CC4"/>
    <w:rsid w:val="00C7600F"/>
    <w:rsid w:val="00C76CCB"/>
    <w:rsid w:val="00C775F6"/>
    <w:rsid w:val="00C77C20"/>
    <w:rsid w:val="00C82425"/>
    <w:rsid w:val="00C8252D"/>
    <w:rsid w:val="00C8308D"/>
    <w:rsid w:val="00C8422F"/>
    <w:rsid w:val="00C847F7"/>
    <w:rsid w:val="00C8492C"/>
    <w:rsid w:val="00C86172"/>
    <w:rsid w:val="00C90394"/>
    <w:rsid w:val="00C94268"/>
    <w:rsid w:val="00C943CA"/>
    <w:rsid w:val="00C94DDC"/>
    <w:rsid w:val="00C96896"/>
    <w:rsid w:val="00C975D1"/>
    <w:rsid w:val="00C97850"/>
    <w:rsid w:val="00CA0CA2"/>
    <w:rsid w:val="00CA0DD1"/>
    <w:rsid w:val="00CA2186"/>
    <w:rsid w:val="00CA298E"/>
    <w:rsid w:val="00CA3123"/>
    <w:rsid w:val="00CA51C9"/>
    <w:rsid w:val="00CA7BC2"/>
    <w:rsid w:val="00CB00D0"/>
    <w:rsid w:val="00CB25CA"/>
    <w:rsid w:val="00CB4C17"/>
    <w:rsid w:val="00CB5EE9"/>
    <w:rsid w:val="00CB6638"/>
    <w:rsid w:val="00CB6781"/>
    <w:rsid w:val="00CB6D10"/>
    <w:rsid w:val="00CC054D"/>
    <w:rsid w:val="00CC0AF4"/>
    <w:rsid w:val="00CC3D19"/>
    <w:rsid w:val="00CC48F1"/>
    <w:rsid w:val="00CC4CE5"/>
    <w:rsid w:val="00CC618C"/>
    <w:rsid w:val="00CD01EA"/>
    <w:rsid w:val="00CD047D"/>
    <w:rsid w:val="00CD0D5B"/>
    <w:rsid w:val="00CD14ED"/>
    <w:rsid w:val="00CD1844"/>
    <w:rsid w:val="00CD273B"/>
    <w:rsid w:val="00CD2EE0"/>
    <w:rsid w:val="00CD35F3"/>
    <w:rsid w:val="00CD466E"/>
    <w:rsid w:val="00CD6C4A"/>
    <w:rsid w:val="00CD783D"/>
    <w:rsid w:val="00CD7C8A"/>
    <w:rsid w:val="00CE17F8"/>
    <w:rsid w:val="00CE227C"/>
    <w:rsid w:val="00CE3AD7"/>
    <w:rsid w:val="00CE3E35"/>
    <w:rsid w:val="00CE5208"/>
    <w:rsid w:val="00CF0DAB"/>
    <w:rsid w:val="00CF4EA4"/>
    <w:rsid w:val="00CF56E6"/>
    <w:rsid w:val="00CF6602"/>
    <w:rsid w:val="00CF7036"/>
    <w:rsid w:val="00D00144"/>
    <w:rsid w:val="00D04998"/>
    <w:rsid w:val="00D04B9D"/>
    <w:rsid w:val="00D04EA6"/>
    <w:rsid w:val="00D0534D"/>
    <w:rsid w:val="00D1081B"/>
    <w:rsid w:val="00D13920"/>
    <w:rsid w:val="00D13A2A"/>
    <w:rsid w:val="00D14748"/>
    <w:rsid w:val="00D1553F"/>
    <w:rsid w:val="00D15C6C"/>
    <w:rsid w:val="00D206F1"/>
    <w:rsid w:val="00D23172"/>
    <w:rsid w:val="00D24717"/>
    <w:rsid w:val="00D25261"/>
    <w:rsid w:val="00D2556E"/>
    <w:rsid w:val="00D2603F"/>
    <w:rsid w:val="00D265E4"/>
    <w:rsid w:val="00D319C3"/>
    <w:rsid w:val="00D3550F"/>
    <w:rsid w:val="00D41F6D"/>
    <w:rsid w:val="00D4545A"/>
    <w:rsid w:val="00D47302"/>
    <w:rsid w:val="00D47960"/>
    <w:rsid w:val="00D47C5C"/>
    <w:rsid w:val="00D54025"/>
    <w:rsid w:val="00D555AB"/>
    <w:rsid w:val="00D60F7A"/>
    <w:rsid w:val="00D6121F"/>
    <w:rsid w:val="00D64AB9"/>
    <w:rsid w:val="00D66A16"/>
    <w:rsid w:val="00D70889"/>
    <w:rsid w:val="00D71EA3"/>
    <w:rsid w:val="00D72BF5"/>
    <w:rsid w:val="00D74EF3"/>
    <w:rsid w:val="00D75AF3"/>
    <w:rsid w:val="00D7687E"/>
    <w:rsid w:val="00D768F7"/>
    <w:rsid w:val="00D8012C"/>
    <w:rsid w:val="00D83D19"/>
    <w:rsid w:val="00D844F3"/>
    <w:rsid w:val="00D91D11"/>
    <w:rsid w:val="00D936D2"/>
    <w:rsid w:val="00D95949"/>
    <w:rsid w:val="00D95F42"/>
    <w:rsid w:val="00D9666A"/>
    <w:rsid w:val="00D96960"/>
    <w:rsid w:val="00D97D96"/>
    <w:rsid w:val="00DA0021"/>
    <w:rsid w:val="00DA06B3"/>
    <w:rsid w:val="00DA206B"/>
    <w:rsid w:val="00DA30EB"/>
    <w:rsid w:val="00DB0CA3"/>
    <w:rsid w:val="00DB1B39"/>
    <w:rsid w:val="00DB3883"/>
    <w:rsid w:val="00DB4FCA"/>
    <w:rsid w:val="00DB573E"/>
    <w:rsid w:val="00DB5AC7"/>
    <w:rsid w:val="00DC06D0"/>
    <w:rsid w:val="00DC0A6D"/>
    <w:rsid w:val="00DC10E4"/>
    <w:rsid w:val="00DC19B4"/>
    <w:rsid w:val="00DC62DC"/>
    <w:rsid w:val="00DC75E1"/>
    <w:rsid w:val="00DC7AAF"/>
    <w:rsid w:val="00DD065D"/>
    <w:rsid w:val="00DD61D3"/>
    <w:rsid w:val="00DE0898"/>
    <w:rsid w:val="00DE0CB0"/>
    <w:rsid w:val="00DE0D15"/>
    <w:rsid w:val="00DE26C8"/>
    <w:rsid w:val="00DE3571"/>
    <w:rsid w:val="00DE3C81"/>
    <w:rsid w:val="00DE3D5A"/>
    <w:rsid w:val="00DE3FDB"/>
    <w:rsid w:val="00DE444D"/>
    <w:rsid w:val="00DE4C0F"/>
    <w:rsid w:val="00DE66A2"/>
    <w:rsid w:val="00DF11F8"/>
    <w:rsid w:val="00DF3FEC"/>
    <w:rsid w:val="00DF64D5"/>
    <w:rsid w:val="00DF726C"/>
    <w:rsid w:val="00E00E32"/>
    <w:rsid w:val="00E01AC9"/>
    <w:rsid w:val="00E024E5"/>
    <w:rsid w:val="00E03734"/>
    <w:rsid w:val="00E04311"/>
    <w:rsid w:val="00E07B5E"/>
    <w:rsid w:val="00E07FED"/>
    <w:rsid w:val="00E13990"/>
    <w:rsid w:val="00E13F56"/>
    <w:rsid w:val="00E14B55"/>
    <w:rsid w:val="00E16C03"/>
    <w:rsid w:val="00E20DEA"/>
    <w:rsid w:val="00E21A75"/>
    <w:rsid w:val="00E21E45"/>
    <w:rsid w:val="00E2268A"/>
    <w:rsid w:val="00E23917"/>
    <w:rsid w:val="00E27135"/>
    <w:rsid w:val="00E307FE"/>
    <w:rsid w:val="00E32755"/>
    <w:rsid w:val="00E32821"/>
    <w:rsid w:val="00E32847"/>
    <w:rsid w:val="00E33FF3"/>
    <w:rsid w:val="00E37902"/>
    <w:rsid w:val="00E40B22"/>
    <w:rsid w:val="00E41B3D"/>
    <w:rsid w:val="00E44D5D"/>
    <w:rsid w:val="00E45980"/>
    <w:rsid w:val="00E4635F"/>
    <w:rsid w:val="00E47B83"/>
    <w:rsid w:val="00E47BD4"/>
    <w:rsid w:val="00E47CC4"/>
    <w:rsid w:val="00E53B9F"/>
    <w:rsid w:val="00E54830"/>
    <w:rsid w:val="00E5710C"/>
    <w:rsid w:val="00E5775D"/>
    <w:rsid w:val="00E61BA9"/>
    <w:rsid w:val="00E62412"/>
    <w:rsid w:val="00E62DE7"/>
    <w:rsid w:val="00E6521E"/>
    <w:rsid w:val="00E67683"/>
    <w:rsid w:val="00E7044E"/>
    <w:rsid w:val="00E72EED"/>
    <w:rsid w:val="00E73638"/>
    <w:rsid w:val="00E74586"/>
    <w:rsid w:val="00E75B62"/>
    <w:rsid w:val="00E76592"/>
    <w:rsid w:val="00E7665A"/>
    <w:rsid w:val="00E76730"/>
    <w:rsid w:val="00E77835"/>
    <w:rsid w:val="00E77D29"/>
    <w:rsid w:val="00E77FE7"/>
    <w:rsid w:val="00E80A95"/>
    <w:rsid w:val="00E814B9"/>
    <w:rsid w:val="00E90514"/>
    <w:rsid w:val="00E90735"/>
    <w:rsid w:val="00E907E3"/>
    <w:rsid w:val="00E91727"/>
    <w:rsid w:val="00E917E3"/>
    <w:rsid w:val="00E91D96"/>
    <w:rsid w:val="00E92846"/>
    <w:rsid w:val="00E95469"/>
    <w:rsid w:val="00E95624"/>
    <w:rsid w:val="00E97A04"/>
    <w:rsid w:val="00EA0BFD"/>
    <w:rsid w:val="00EA0F7D"/>
    <w:rsid w:val="00EA1B74"/>
    <w:rsid w:val="00EA26B1"/>
    <w:rsid w:val="00EA38BE"/>
    <w:rsid w:val="00EA3B32"/>
    <w:rsid w:val="00EA7D98"/>
    <w:rsid w:val="00EB2138"/>
    <w:rsid w:val="00EB25FF"/>
    <w:rsid w:val="00EB4FBC"/>
    <w:rsid w:val="00EB52A6"/>
    <w:rsid w:val="00EB67D4"/>
    <w:rsid w:val="00EC0783"/>
    <w:rsid w:val="00EC0DE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86A"/>
    <w:rsid w:val="00EF6F5E"/>
    <w:rsid w:val="00EF76BF"/>
    <w:rsid w:val="00EF7EB2"/>
    <w:rsid w:val="00EF7EC3"/>
    <w:rsid w:val="00F03C7D"/>
    <w:rsid w:val="00F05CE3"/>
    <w:rsid w:val="00F06125"/>
    <w:rsid w:val="00F10218"/>
    <w:rsid w:val="00F10271"/>
    <w:rsid w:val="00F11B1B"/>
    <w:rsid w:val="00F123E7"/>
    <w:rsid w:val="00F13EE8"/>
    <w:rsid w:val="00F14134"/>
    <w:rsid w:val="00F147A9"/>
    <w:rsid w:val="00F149C7"/>
    <w:rsid w:val="00F169A3"/>
    <w:rsid w:val="00F1765E"/>
    <w:rsid w:val="00F22854"/>
    <w:rsid w:val="00F22E29"/>
    <w:rsid w:val="00F23CF0"/>
    <w:rsid w:val="00F266AF"/>
    <w:rsid w:val="00F276EE"/>
    <w:rsid w:val="00F27C98"/>
    <w:rsid w:val="00F319FC"/>
    <w:rsid w:val="00F31FFF"/>
    <w:rsid w:val="00F326BC"/>
    <w:rsid w:val="00F33894"/>
    <w:rsid w:val="00F34DA2"/>
    <w:rsid w:val="00F351A6"/>
    <w:rsid w:val="00F35933"/>
    <w:rsid w:val="00F405F3"/>
    <w:rsid w:val="00F40CC1"/>
    <w:rsid w:val="00F4192F"/>
    <w:rsid w:val="00F4267D"/>
    <w:rsid w:val="00F444AF"/>
    <w:rsid w:val="00F445F5"/>
    <w:rsid w:val="00F44E5D"/>
    <w:rsid w:val="00F47198"/>
    <w:rsid w:val="00F472AB"/>
    <w:rsid w:val="00F474EF"/>
    <w:rsid w:val="00F51069"/>
    <w:rsid w:val="00F52F46"/>
    <w:rsid w:val="00F5322D"/>
    <w:rsid w:val="00F54826"/>
    <w:rsid w:val="00F553CC"/>
    <w:rsid w:val="00F55AA8"/>
    <w:rsid w:val="00F55CA1"/>
    <w:rsid w:val="00F57121"/>
    <w:rsid w:val="00F575DD"/>
    <w:rsid w:val="00F577EB"/>
    <w:rsid w:val="00F62F00"/>
    <w:rsid w:val="00F6433F"/>
    <w:rsid w:val="00F66136"/>
    <w:rsid w:val="00F6621E"/>
    <w:rsid w:val="00F66E45"/>
    <w:rsid w:val="00F67064"/>
    <w:rsid w:val="00F709EF"/>
    <w:rsid w:val="00F70F0D"/>
    <w:rsid w:val="00F72186"/>
    <w:rsid w:val="00F7383B"/>
    <w:rsid w:val="00F738EB"/>
    <w:rsid w:val="00F73F76"/>
    <w:rsid w:val="00F75F17"/>
    <w:rsid w:val="00F8221D"/>
    <w:rsid w:val="00F8483F"/>
    <w:rsid w:val="00F865B6"/>
    <w:rsid w:val="00F87C57"/>
    <w:rsid w:val="00F910DB"/>
    <w:rsid w:val="00F91208"/>
    <w:rsid w:val="00F91900"/>
    <w:rsid w:val="00F92FA0"/>
    <w:rsid w:val="00F9423F"/>
    <w:rsid w:val="00F94476"/>
    <w:rsid w:val="00F94FE5"/>
    <w:rsid w:val="00F95C00"/>
    <w:rsid w:val="00F96FE5"/>
    <w:rsid w:val="00F97140"/>
    <w:rsid w:val="00F97AFF"/>
    <w:rsid w:val="00FA1210"/>
    <w:rsid w:val="00FA2824"/>
    <w:rsid w:val="00FA30F9"/>
    <w:rsid w:val="00FA39EC"/>
    <w:rsid w:val="00FA5317"/>
    <w:rsid w:val="00FA58D0"/>
    <w:rsid w:val="00FA61CB"/>
    <w:rsid w:val="00FA65C6"/>
    <w:rsid w:val="00FA71E4"/>
    <w:rsid w:val="00FB1149"/>
    <w:rsid w:val="00FB1FCA"/>
    <w:rsid w:val="00FB4131"/>
    <w:rsid w:val="00FB4E2D"/>
    <w:rsid w:val="00FB71FC"/>
    <w:rsid w:val="00FC03E2"/>
    <w:rsid w:val="00FC0DB4"/>
    <w:rsid w:val="00FC15D9"/>
    <w:rsid w:val="00FC1871"/>
    <w:rsid w:val="00FC25EA"/>
    <w:rsid w:val="00FC2D57"/>
    <w:rsid w:val="00FC3F1D"/>
    <w:rsid w:val="00FC65F4"/>
    <w:rsid w:val="00FD09E7"/>
    <w:rsid w:val="00FD0C31"/>
    <w:rsid w:val="00FD1FED"/>
    <w:rsid w:val="00FD20C8"/>
    <w:rsid w:val="00FD273E"/>
    <w:rsid w:val="00FD28AF"/>
    <w:rsid w:val="00FD342E"/>
    <w:rsid w:val="00FD394B"/>
    <w:rsid w:val="00FD39E0"/>
    <w:rsid w:val="00FD429B"/>
    <w:rsid w:val="00FD47D4"/>
    <w:rsid w:val="00FD4BF6"/>
    <w:rsid w:val="00FD5402"/>
    <w:rsid w:val="00FD556B"/>
    <w:rsid w:val="00FE17F9"/>
    <w:rsid w:val="00FE22B0"/>
    <w:rsid w:val="00FE22B4"/>
    <w:rsid w:val="00FE2479"/>
    <w:rsid w:val="00FE4E48"/>
    <w:rsid w:val="00FE5D7C"/>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DE3"/>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3654AA"/>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3654AA"/>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3197771">
      <w:bodyDiv w:val="1"/>
      <w:marLeft w:val="0"/>
      <w:marRight w:val="0"/>
      <w:marTop w:val="0"/>
      <w:marBottom w:val="0"/>
      <w:divBdr>
        <w:top w:val="none" w:sz="0" w:space="0" w:color="auto"/>
        <w:left w:val="none" w:sz="0" w:space="0" w:color="auto"/>
        <w:bottom w:val="none" w:sz="0" w:space="0" w:color="auto"/>
        <w:right w:val="none" w:sz="0" w:space="0" w:color="auto"/>
      </w:divBdr>
    </w:div>
    <w:div w:id="239096245">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3597299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9297922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4601632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2945568">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8D2A-659E-4CA9-8C40-3DFB2193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1402</Words>
  <Characters>7992</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81</cp:revision>
  <dcterms:created xsi:type="dcterms:W3CDTF">2023-02-10T02:47:00Z</dcterms:created>
  <dcterms:modified xsi:type="dcterms:W3CDTF">2023-02-16T08:11:00Z</dcterms:modified>
</cp:coreProperties>
</file>